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A1915B" w14:textId="041360BE" w:rsidR="004D66C2" w:rsidRPr="00CB44F1" w:rsidRDefault="00AA5295" w:rsidP="00A64C95">
      <w:pPr>
        <w:tabs>
          <w:tab w:val="left" w:pos="963"/>
        </w:tabs>
        <w:rPr>
          <w:rFonts w:ascii="Times New Roman" w:hAnsi="Times New Roman"/>
          <w:szCs w:val="24"/>
        </w:rPr>
      </w:pPr>
      <w:r>
        <w:rPr>
          <w:lang w:val="es-ES"/>
        </w:rPr>
        <w:drawing>
          <wp:inline distT="0" distB="0" distL="0" distR="0" wp14:anchorId="2B3A77FB" wp14:editId="7D19A5E1">
            <wp:extent cx="2259330" cy="661035"/>
            <wp:effectExtent l="19050" t="0" r="7620" b="0"/>
            <wp:docPr id="1" name="Imagen 1" descr="Facult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acultad"/>
                    <pic:cNvPicPr>
                      <a:picLocks noChangeAspect="1" noChangeArrowheads="1"/>
                    </pic:cNvPicPr>
                  </pic:nvPicPr>
                  <pic:blipFill>
                    <a:blip r:embed="rId6"/>
                    <a:srcRect/>
                    <a:stretch>
                      <a:fillRect/>
                    </a:stretch>
                  </pic:blipFill>
                  <pic:spPr bwMode="auto">
                    <a:xfrm>
                      <a:off x="0" y="0"/>
                      <a:ext cx="2259330" cy="661035"/>
                    </a:xfrm>
                    <a:prstGeom prst="rect">
                      <a:avLst/>
                    </a:prstGeom>
                    <a:noFill/>
                    <a:ln w="9525">
                      <a:noFill/>
                      <a:miter lim="800000"/>
                      <a:headEnd/>
                      <a:tailEnd/>
                    </a:ln>
                  </pic:spPr>
                </pic:pic>
              </a:graphicData>
            </a:graphic>
          </wp:inline>
        </w:drawing>
      </w:r>
      <w:r w:rsidR="00CB44F1">
        <w:rPr>
          <w:rFonts w:ascii="Times New Roman" w:hAnsi="Times New Roman"/>
          <w:szCs w:val="24"/>
        </w:rPr>
        <w:t xml:space="preserve">                                 </w:t>
      </w:r>
      <w:r w:rsidR="00923A92">
        <w:rPr>
          <w:rFonts w:ascii="Times New Roman" w:hAnsi="Times New Roman"/>
          <w:szCs w:val="24"/>
        </w:rPr>
        <w:t xml:space="preserve">                  </w:t>
      </w:r>
      <w:r w:rsidR="00CB44F1">
        <w:rPr>
          <w:rFonts w:ascii="Times New Roman" w:hAnsi="Times New Roman"/>
          <w:szCs w:val="24"/>
        </w:rPr>
        <w:t xml:space="preserve"> </w:t>
      </w:r>
      <w:r w:rsidR="0088375C">
        <w:rPr>
          <w:rFonts w:ascii="Times New Roman" w:hAnsi="Times New Roman"/>
          <w:szCs w:val="24"/>
        </w:rPr>
        <w:t>23</w:t>
      </w:r>
      <w:r w:rsidR="00923A92">
        <w:rPr>
          <w:rFonts w:ascii="Times New Roman" w:hAnsi="Times New Roman"/>
          <w:szCs w:val="24"/>
        </w:rPr>
        <w:t xml:space="preserve"> junio 2015</w:t>
      </w:r>
    </w:p>
    <w:p w14:paraId="3552124C" w14:textId="77777777" w:rsidR="00EF699E" w:rsidRPr="00B068AF" w:rsidRDefault="00EF699E" w:rsidP="00A64C95">
      <w:pPr>
        <w:jc w:val="both"/>
        <w:rPr>
          <w:b/>
          <w:color w:val="17365D"/>
          <w:sz w:val="20"/>
        </w:rPr>
      </w:pPr>
      <w:r w:rsidRPr="00B068AF">
        <w:rPr>
          <w:b/>
          <w:color w:val="17365D"/>
          <w:sz w:val="20"/>
        </w:rPr>
        <w:t xml:space="preserve">Instituto de Investigación y Desarrollo Rural. </w:t>
      </w:r>
    </w:p>
    <w:p w14:paraId="2894B6F7" w14:textId="77777777" w:rsidR="00BF5F6C" w:rsidRPr="00B068AF" w:rsidRDefault="00EF699E" w:rsidP="00A64C95">
      <w:pPr>
        <w:jc w:val="both"/>
        <w:rPr>
          <w:b/>
          <w:color w:val="17365D"/>
          <w:sz w:val="20"/>
        </w:rPr>
      </w:pPr>
      <w:r w:rsidRPr="00B068AF">
        <w:rPr>
          <w:b/>
          <w:color w:val="17365D"/>
          <w:sz w:val="20"/>
        </w:rPr>
        <w:t>Serranía Celtibérica</w:t>
      </w:r>
    </w:p>
    <w:p w14:paraId="6C3BF4E6" w14:textId="77777777" w:rsidR="00EF699E" w:rsidRPr="00E62BD6" w:rsidRDefault="00EF699E" w:rsidP="00A64C95">
      <w:pPr>
        <w:jc w:val="both"/>
        <w:rPr>
          <w:sz w:val="22"/>
          <w:szCs w:val="22"/>
        </w:rPr>
      </w:pPr>
      <w:r w:rsidRPr="00E62BD6">
        <w:rPr>
          <w:sz w:val="22"/>
          <w:szCs w:val="22"/>
        </w:rPr>
        <w:t>Ciudad Escolar, s</w:t>
      </w:r>
      <w:r w:rsidR="00BF5F6C" w:rsidRPr="00E62BD6">
        <w:rPr>
          <w:sz w:val="22"/>
          <w:szCs w:val="22"/>
        </w:rPr>
        <w:t>n.</w:t>
      </w:r>
      <w:r w:rsidRPr="00E62BD6">
        <w:rPr>
          <w:sz w:val="22"/>
          <w:szCs w:val="22"/>
        </w:rPr>
        <w:t xml:space="preserve"> / 44003 TERUEL</w:t>
      </w:r>
    </w:p>
    <w:p w14:paraId="532F0D38" w14:textId="77777777" w:rsidR="00E62BD6" w:rsidRDefault="0055606E" w:rsidP="00A64C95">
      <w:pPr>
        <w:jc w:val="both"/>
        <w:rPr>
          <w:sz w:val="22"/>
          <w:szCs w:val="22"/>
        </w:rPr>
      </w:pPr>
      <w:hyperlink r:id="rId7" w:history="1">
        <w:r w:rsidR="00E62BD6" w:rsidRPr="004D66C2">
          <w:rPr>
            <w:rStyle w:val="Hipervnculo"/>
            <w:color w:val="000000"/>
            <w:sz w:val="22"/>
            <w:szCs w:val="22"/>
          </w:rPr>
          <w:t>fburillo@unizar.es</w:t>
        </w:r>
      </w:hyperlink>
      <w:r w:rsidR="00E62BD6" w:rsidRPr="00E62BD6">
        <w:rPr>
          <w:sz w:val="22"/>
          <w:szCs w:val="22"/>
        </w:rPr>
        <w:t xml:space="preserve"> </w:t>
      </w:r>
      <w:r w:rsidR="00E62BD6">
        <w:rPr>
          <w:sz w:val="22"/>
          <w:szCs w:val="22"/>
        </w:rPr>
        <w:t xml:space="preserve">  </w:t>
      </w:r>
      <w:r w:rsidR="00E62BD6" w:rsidRPr="00E62BD6">
        <w:rPr>
          <w:sz w:val="22"/>
          <w:szCs w:val="22"/>
        </w:rPr>
        <w:t xml:space="preserve">/ </w:t>
      </w:r>
      <w:r w:rsidR="00E62BD6">
        <w:rPr>
          <w:sz w:val="22"/>
          <w:szCs w:val="22"/>
        </w:rPr>
        <w:t xml:space="preserve">  </w:t>
      </w:r>
      <w:r w:rsidR="00E62BD6" w:rsidRPr="00E62BD6">
        <w:rPr>
          <w:sz w:val="22"/>
          <w:szCs w:val="22"/>
        </w:rPr>
        <w:t>tf. 678707694</w:t>
      </w:r>
    </w:p>
    <w:p w14:paraId="4F1B0C50" w14:textId="77777777" w:rsidR="00445A0C" w:rsidRDefault="00445A0C" w:rsidP="00A64C95">
      <w:pPr>
        <w:jc w:val="both"/>
        <w:rPr>
          <w:sz w:val="22"/>
          <w:szCs w:val="22"/>
        </w:rPr>
      </w:pPr>
    </w:p>
    <w:p w14:paraId="5BB43346" w14:textId="77777777" w:rsidR="00445A0C" w:rsidRDefault="00445A0C" w:rsidP="00A64C95">
      <w:pPr>
        <w:jc w:val="both"/>
        <w:rPr>
          <w:sz w:val="22"/>
          <w:szCs w:val="22"/>
        </w:rPr>
      </w:pPr>
    </w:p>
    <w:p w14:paraId="42920764" w14:textId="2ED2ADF6" w:rsidR="004D66C2" w:rsidRPr="001D17D8" w:rsidRDefault="00693E54" w:rsidP="00A64C95">
      <w:pPr>
        <w:tabs>
          <w:tab w:val="left" w:pos="963"/>
        </w:tabs>
        <w:ind w:left="1134"/>
        <w:jc w:val="right"/>
        <w:rPr>
          <w:rFonts w:ascii="Times New Roman" w:hAnsi="Times New Roman"/>
          <w:szCs w:val="24"/>
        </w:rPr>
      </w:pPr>
      <w:r w:rsidRPr="001D17D8">
        <w:rPr>
          <w:rFonts w:ascii="Times New Roman" w:hAnsi="Times New Roman"/>
          <w:szCs w:val="24"/>
        </w:rPr>
        <w:t>Comunicado de Prensa</w:t>
      </w:r>
    </w:p>
    <w:p w14:paraId="50EFFA84" w14:textId="77777777" w:rsidR="00693E54" w:rsidRPr="001D17D8" w:rsidRDefault="00693E54" w:rsidP="00A64C95">
      <w:pPr>
        <w:tabs>
          <w:tab w:val="left" w:pos="963"/>
        </w:tabs>
        <w:jc w:val="right"/>
        <w:rPr>
          <w:rFonts w:ascii="Times New Roman" w:hAnsi="Times New Roman"/>
          <w:szCs w:val="24"/>
        </w:rPr>
      </w:pPr>
    </w:p>
    <w:p w14:paraId="4690FBC7" w14:textId="77777777" w:rsidR="00A64C95" w:rsidRDefault="00A64C95" w:rsidP="00A64C95">
      <w:pPr>
        <w:tabs>
          <w:tab w:val="left" w:pos="963"/>
        </w:tabs>
        <w:jc w:val="both"/>
        <w:rPr>
          <w:rFonts w:ascii="Times New Roman" w:hAnsi="Times New Roman"/>
          <w:b/>
          <w:szCs w:val="24"/>
        </w:rPr>
      </w:pPr>
    </w:p>
    <w:p w14:paraId="216A713F" w14:textId="37AA910D" w:rsidR="00693E54" w:rsidRPr="00A00D1A" w:rsidRDefault="00693E54" w:rsidP="00A64C95">
      <w:pPr>
        <w:tabs>
          <w:tab w:val="left" w:pos="963"/>
        </w:tabs>
        <w:jc w:val="both"/>
        <w:rPr>
          <w:rFonts w:ascii="Times New Roman" w:hAnsi="Times New Roman"/>
          <w:b/>
          <w:sz w:val="28"/>
          <w:szCs w:val="28"/>
        </w:rPr>
      </w:pPr>
      <w:r w:rsidRPr="00A00D1A">
        <w:rPr>
          <w:rFonts w:ascii="Times New Roman" w:hAnsi="Times New Roman"/>
          <w:b/>
          <w:sz w:val="28"/>
          <w:szCs w:val="28"/>
        </w:rPr>
        <w:t xml:space="preserve">Despoblación. </w:t>
      </w:r>
      <w:r w:rsidR="0088375C">
        <w:rPr>
          <w:rFonts w:ascii="Times New Roman" w:hAnsi="Times New Roman"/>
          <w:sz w:val="28"/>
          <w:szCs w:val="28"/>
        </w:rPr>
        <w:t>Diez</w:t>
      </w:r>
      <w:r w:rsidR="00E03F23" w:rsidRPr="00A00D1A">
        <w:rPr>
          <w:rFonts w:ascii="Times New Roman" w:hAnsi="Times New Roman"/>
          <w:sz w:val="28"/>
          <w:szCs w:val="28"/>
        </w:rPr>
        <w:t xml:space="preserve"> Universidades se unen para </w:t>
      </w:r>
      <w:r w:rsidR="00A64C95" w:rsidRPr="00A00D1A">
        <w:rPr>
          <w:rFonts w:ascii="Times New Roman" w:hAnsi="Times New Roman"/>
          <w:sz w:val="28"/>
          <w:szCs w:val="28"/>
        </w:rPr>
        <w:t>aportar medidas</w:t>
      </w:r>
    </w:p>
    <w:p w14:paraId="4256E9E2" w14:textId="77777777" w:rsidR="00693E54" w:rsidRPr="001D17D8" w:rsidRDefault="00693E54" w:rsidP="00A64C95">
      <w:pPr>
        <w:tabs>
          <w:tab w:val="left" w:pos="963"/>
        </w:tabs>
        <w:jc w:val="both"/>
        <w:rPr>
          <w:rFonts w:ascii="Times New Roman" w:hAnsi="Times New Roman"/>
          <w:b/>
          <w:szCs w:val="24"/>
        </w:rPr>
      </w:pPr>
    </w:p>
    <w:p w14:paraId="29372B12" w14:textId="66B13F36" w:rsidR="00693E54" w:rsidRPr="00A00D1A" w:rsidRDefault="00693E54" w:rsidP="00A64C95">
      <w:pPr>
        <w:tabs>
          <w:tab w:val="left" w:pos="963"/>
        </w:tabs>
        <w:jc w:val="both"/>
        <w:rPr>
          <w:rFonts w:ascii="Times New Roman" w:hAnsi="Times New Roman"/>
          <w:b/>
          <w:sz w:val="32"/>
          <w:szCs w:val="32"/>
        </w:rPr>
      </w:pPr>
      <w:r w:rsidRPr="00A00D1A">
        <w:rPr>
          <w:rFonts w:ascii="Times New Roman" w:hAnsi="Times New Roman"/>
          <w:b/>
          <w:sz w:val="32"/>
          <w:szCs w:val="32"/>
        </w:rPr>
        <w:t xml:space="preserve">Burillo </w:t>
      </w:r>
      <w:r w:rsidR="00E03F23" w:rsidRPr="00A00D1A">
        <w:rPr>
          <w:rFonts w:ascii="Times New Roman" w:hAnsi="Times New Roman"/>
          <w:b/>
          <w:sz w:val="32"/>
          <w:szCs w:val="32"/>
        </w:rPr>
        <w:t xml:space="preserve">impulsa la creación de la Red de Universidades de la </w:t>
      </w:r>
      <w:r w:rsidR="00031768" w:rsidRPr="00A00D1A">
        <w:rPr>
          <w:rFonts w:ascii="Times New Roman" w:hAnsi="Times New Roman"/>
          <w:b/>
          <w:sz w:val="32"/>
          <w:szCs w:val="32"/>
        </w:rPr>
        <w:t>Serranía Celtibérica</w:t>
      </w:r>
      <w:r w:rsidR="008526B8" w:rsidRPr="00A00D1A">
        <w:rPr>
          <w:rFonts w:ascii="Times New Roman" w:hAnsi="Times New Roman"/>
          <w:b/>
          <w:sz w:val="32"/>
          <w:szCs w:val="32"/>
        </w:rPr>
        <w:t xml:space="preserve"> (RUSC)</w:t>
      </w:r>
      <w:r w:rsidRPr="00A00D1A">
        <w:rPr>
          <w:rFonts w:ascii="Times New Roman" w:hAnsi="Times New Roman"/>
          <w:b/>
          <w:sz w:val="32"/>
          <w:szCs w:val="32"/>
        </w:rPr>
        <w:t>.</w:t>
      </w:r>
    </w:p>
    <w:p w14:paraId="5E529002" w14:textId="77777777" w:rsidR="00F10FD7" w:rsidRPr="001D17D8" w:rsidRDefault="00F10FD7" w:rsidP="00A64C95">
      <w:pPr>
        <w:tabs>
          <w:tab w:val="left" w:pos="963"/>
        </w:tabs>
        <w:jc w:val="both"/>
        <w:rPr>
          <w:rFonts w:ascii="Times New Roman" w:hAnsi="Times New Roman"/>
          <w:b/>
          <w:szCs w:val="24"/>
        </w:rPr>
      </w:pPr>
    </w:p>
    <w:p w14:paraId="2F20CAB9" w14:textId="02A225DD" w:rsidR="001B0479" w:rsidRDefault="00AC50A2" w:rsidP="00A64C95">
      <w:pPr>
        <w:tabs>
          <w:tab w:val="left" w:pos="963"/>
        </w:tabs>
        <w:jc w:val="both"/>
        <w:rPr>
          <w:rFonts w:ascii="Times New Roman" w:hAnsi="Times New Roman"/>
          <w:sz w:val="28"/>
          <w:szCs w:val="28"/>
        </w:rPr>
      </w:pPr>
      <w:r>
        <w:rPr>
          <w:rFonts w:ascii="Times New Roman" w:hAnsi="Times New Roman"/>
          <w:sz w:val="28"/>
          <w:szCs w:val="28"/>
        </w:rPr>
        <w:t>El</w:t>
      </w:r>
      <w:r w:rsidR="001B0479">
        <w:rPr>
          <w:rFonts w:ascii="Times New Roman" w:hAnsi="Times New Roman"/>
          <w:sz w:val="28"/>
          <w:szCs w:val="28"/>
        </w:rPr>
        <w:t xml:space="preserve"> Gobierno de </w:t>
      </w:r>
      <w:r w:rsidR="00AA357C">
        <w:rPr>
          <w:rFonts w:ascii="Times New Roman" w:hAnsi="Times New Roman"/>
          <w:sz w:val="28"/>
          <w:szCs w:val="28"/>
        </w:rPr>
        <w:t xml:space="preserve">Castilla </w:t>
      </w:r>
      <w:r w:rsidR="0055606E">
        <w:rPr>
          <w:rFonts w:ascii="Times New Roman" w:hAnsi="Times New Roman"/>
          <w:sz w:val="28"/>
          <w:szCs w:val="28"/>
        </w:rPr>
        <w:t>- León</w:t>
      </w:r>
      <w:bookmarkStart w:id="0" w:name="_GoBack"/>
      <w:bookmarkEnd w:id="0"/>
      <w:r w:rsidR="001B0479">
        <w:rPr>
          <w:rFonts w:ascii="Times New Roman" w:hAnsi="Times New Roman"/>
          <w:sz w:val="28"/>
          <w:szCs w:val="28"/>
        </w:rPr>
        <w:t xml:space="preserve"> </w:t>
      </w:r>
      <w:r>
        <w:rPr>
          <w:rFonts w:ascii="Times New Roman" w:hAnsi="Times New Roman"/>
          <w:sz w:val="28"/>
          <w:szCs w:val="28"/>
        </w:rPr>
        <w:t>debe sumarse a</w:t>
      </w:r>
      <w:r w:rsidR="001B0479">
        <w:rPr>
          <w:rFonts w:ascii="Times New Roman" w:hAnsi="Times New Roman"/>
          <w:sz w:val="28"/>
          <w:szCs w:val="28"/>
        </w:rPr>
        <w:t>l acuerdo del Senado a favor de la ITI Serranía Celtibérica y del Instituto de Investigación.</w:t>
      </w:r>
    </w:p>
    <w:p w14:paraId="2F7E7E9E" w14:textId="77777777" w:rsidR="001B0479" w:rsidRDefault="001B0479" w:rsidP="00A64C95">
      <w:pPr>
        <w:tabs>
          <w:tab w:val="left" w:pos="963"/>
        </w:tabs>
        <w:jc w:val="both"/>
        <w:rPr>
          <w:rFonts w:ascii="Times New Roman" w:hAnsi="Times New Roman"/>
          <w:sz w:val="28"/>
          <w:szCs w:val="28"/>
        </w:rPr>
      </w:pPr>
    </w:p>
    <w:p w14:paraId="4847F713" w14:textId="77777777" w:rsidR="00127EC9" w:rsidRDefault="00127EC9" w:rsidP="00A64C95">
      <w:pPr>
        <w:tabs>
          <w:tab w:val="left" w:pos="963"/>
        </w:tabs>
        <w:jc w:val="both"/>
        <w:rPr>
          <w:rFonts w:ascii="Times New Roman" w:hAnsi="Times New Roman"/>
          <w:sz w:val="28"/>
          <w:szCs w:val="28"/>
        </w:rPr>
      </w:pPr>
    </w:p>
    <w:p w14:paraId="5DCA0364" w14:textId="17FBC401" w:rsidR="006144C4" w:rsidRPr="001B0479" w:rsidRDefault="008526B8" w:rsidP="00AC50A2">
      <w:pPr>
        <w:ind w:firstLine="737"/>
        <w:jc w:val="both"/>
        <w:rPr>
          <w:rFonts w:ascii="Arial" w:hAnsi="Arial" w:cs="Arial"/>
          <w:sz w:val="22"/>
          <w:szCs w:val="22"/>
        </w:rPr>
      </w:pPr>
      <w:r>
        <w:rPr>
          <w:rFonts w:ascii="Times New Roman" w:hAnsi="Times New Roman"/>
          <w:szCs w:val="24"/>
        </w:rPr>
        <w:t>En diciembre del 2013 el</w:t>
      </w:r>
      <w:r w:rsidRPr="008526B8">
        <w:rPr>
          <w:rFonts w:ascii="Times New Roman" w:hAnsi="Times New Roman"/>
          <w:szCs w:val="24"/>
        </w:rPr>
        <w:t xml:space="preserve"> profesor Francisco Burillo </w:t>
      </w:r>
      <w:r w:rsidR="00F1451C">
        <w:rPr>
          <w:rFonts w:ascii="Times New Roman" w:hAnsi="Times New Roman"/>
          <w:szCs w:val="24"/>
        </w:rPr>
        <w:t>propuso al</w:t>
      </w:r>
      <w:r w:rsidRPr="008526B8">
        <w:rPr>
          <w:rFonts w:ascii="Times New Roman" w:hAnsi="Times New Roman"/>
          <w:szCs w:val="24"/>
        </w:rPr>
        <w:t xml:space="preserve"> </w:t>
      </w:r>
      <w:r w:rsidR="006144C4">
        <w:rPr>
          <w:rFonts w:ascii="Times New Roman" w:hAnsi="Times New Roman"/>
          <w:szCs w:val="24"/>
        </w:rPr>
        <w:t xml:space="preserve">equipo </w:t>
      </w:r>
      <w:r w:rsidRPr="008526B8">
        <w:rPr>
          <w:rFonts w:ascii="Times New Roman" w:hAnsi="Times New Roman"/>
          <w:szCs w:val="24"/>
        </w:rPr>
        <w:t>rector</w:t>
      </w:r>
      <w:r w:rsidR="006144C4">
        <w:rPr>
          <w:rFonts w:ascii="Times New Roman" w:hAnsi="Times New Roman"/>
          <w:szCs w:val="24"/>
        </w:rPr>
        <w:t xml:space="preserve">al de la Universidad de Zaragoza </w:t>
      </w:r>
      <w:r w:rsidRPr="008526B8">
        <w:rPr>
          <w:rFonts w:ascii="Times New Roman" w:hAnsi="Times New Roman"/>
          <w:szCs w:val="24"/>
        </w:rPr>
        <w:t>la conveniencia de crear una Red de Universidades de la Serranía Celtibérica</w:t>
      </w:r>
      <w:r>
        <w:rPr>
          <w:rFonts w:ascii="Times New Roman" w:hAnsi="Times New Roman"/>
          <w:szCs w:val="24"/>
        </w:rPr>
        <w:t xml:space="preserve"> (RUSC)</w:t>
      </w:r>
      <w:r w:rsidRPr="008526B8">
        <w:rPr>
          <w:rFonts w:ascii="Times New Roman" w:hAnsi="Times New Roman"/>
          <w:szCs w:val="24"/>
        </w:rPr>
        <w:t xml:space="preserve"> </w:t>
      </w:r>
      <w:r>
        <w:rPr>
          <w:rFonts w:ascii="Times New Roman" w:hAnsi="Times New Roman"/>
          <w:szCs w:val="24"/>
        </w:rPr>
        <w:t>con sede en</w:t>
      </w:r>
      <w:r w:rsidR="00F1451C">
        <w:rPr>
          <w:rFonts w:ascii="Times New Roman" w:hAnsi="Times New Roman"/>
          <w:szCs w:val="24"/>
        </w:rPr>
        <w:t xml:space="preserve"> el Campus de</w:t>
      </w:r>
      <w:r w:rsidR="0088375C">
        <w:rPr>
          <w:rFonts w:ascii="Times New Roman" w:hAnsi="Times New Roman"/>
          <w:szCs w:val="24"/>
        </w:rPr>
        <w:t xml:space="preserve"> Teruel. </w:t>
      </w:r>
      <w:r w:rsidR="00E432D7" w:rsidRPr="00B74B52">
        <w:rPr>
          <w:rFonts w:ascii="Times New Roman" w:hAnsi="Times New Roman"/>
          <w:color w:val="262626"/>
          <w:szCs w:val="24"/>
        </w:rPr>
        <w:t>Su objetivo</w:t>
      </w:r>
      <w:r w:rsidR="00AC50A2">
        <w:rPr>
          <w:rFonts w:ascii="Times New Roman" w:hAnsi="Times New Roman"/>
          <w:color w:val="262626"/>
          <w:szCs w:val="24"/>
        </w:rPr>
        <w:t xml:space="preserve">, trasvasar desde las universidades </w:t>
      </w:r>
      <w:r w:rsidR="00B74B52" w:rsidRPr="00B74B52">
        <w:rPr>
          <w:rFonts w:ascii="Times New Roman" w:hAnsi="Times New Roman"/>
          <w:szCs w:val="24"/>
        </w:rPr>
        <w:t xml:space="preserve">proyectos y actuaciones conjuntas en el campo del estudio, conocimiento, promoción y desarrollo social, económico y cultural de los territorios </w:t>
      </w:r>
      <w:r w:rsidR="0088375C">
        <w:rPr>
          <w:rFonts w:ascii="Times New Roman" w:hAnsi="Times New Roman"/>
          <w:szCs w:val="24"/>
        </w:rPr>
        <w:t>que conforman</w:t>
      </w:r>
      <w:r w:rsidR="00B74B52" w:rsidRPr="00B74B52">
        <w:rPr>
          <w:rFonts w:ascii="Times New Roman" w:hAnsi="Times New Roman"/>
          <w:szCs w:val="24"/>
        </w:rPr>
        <w:t xml:space="preserve"> la Serranía Celtibérica.</w:t>
      </w:r>
      <w:r w:rsidR="001B0479">
        <w:rPr>
          <w:rFonts w:ascii="Times New Roman" w:hAnsi="Times New Roman"/>
          <w:szCs w:val="24"/>
        </w:rPr>
        <w:t xml:space="preserve"> Con su creación se pretende reforzar institucionalmente</w:t>
      </w:r>
      <w:r w:rsidR="00AC50A2">
        <w:rPr>
          <w:rFonts w:ascii="Times New Roman" w:hAnsi="Times New Roman"/>
          <w:szCs w:val="24"/>
        </w:rPr>
        <w:t xml:space="preserve">, ante las Comunidades Autónomas, el Gobierno de España y la Unión Europea, </w:t>
      </w:r>
      <w:r w:rsidR="001B0479">
        <w:rPr>
          <w:rFonts w:ascii="Times New Roman" w:hAnsi="Times New Roman"/>
          <w:szCs w:val="24"/>
        </w:rPr>
        <w:t>el Proyecto Serranía Celtibérica y su Instituto de Investigación y Desarrollo Rural</w:t>
      </w:r>
      <w:r w:rsidR="00AC50A2">
        <w:rPr>
          <w:rFonts w:ascii="Times New Roman" w:hAnsi="Times New Roman"/>
          <w:szCs w:val="24"/>
        </w:rPr>
        <w:t>.</w:t>
      </w:r>
    </w:p>
    <w:p w14:paraId="4554317F" w14:textId="1E87D7BE" w:rsidR="008526B8" w:rsidRDefault="00F1530B" w:rsidP="00A64C95">
      <w:pPr>
        <w:tabs>
          <w:tab w:val="left" w:pos="963"/>
        </w:tabs>
        <w:jc w:val="both"/>
        <w:rPr>
          <w:rFonts w:ascii="Times New Roman" w:hAnsi="Times New Roman"/>
          <w:szCs w:val="24"/>
        </w:rPr>
      </w:pPr>
      <w:r>
        <w:rPr>
          <w:rFonts w:ascii="Times New Roman" w:hAnsi="Times New Roman"/>
          <w:szCs w:val="24"/>
        </w:rPr>
        <w:tab/>
      </w:r>
      <w:r w:rsidR="003B5C34">
        <w:rPr>
          <w:rFonts w:ascii="Times New Roman" w:hAnsi="Times New Roman"/>
          <w:szCs w:val="24"/>
        </w:rPr>
        <w:t>Con la visita el 30 de enero del 2014 al rector</w:t>
      </w:r>
      <w:r w:rsidR="00E64491">
        <w:rPr>
          <w:rFonts w:ascii="Times New Roman" w:hAnsi="Times New Roman"/>
          <w:szCs w:val="24"/>
        </w:rPr>
        <w:t xml:space="preserve">, </w:t>
      </w:r>
      <w:r w:rsidR="00E64491" w:rsidRPr="001D17D8">
        <w:rPr>
          <w:rFonts w:ascii="Times New Roman" w:hAnsi="Times New Roman"/>
          <w:szCs w:val="24"/>
        </w:rPr>
        <w:t>Miguel Ángel Collado Yurrita</w:t>
      </w:r>
      <w:r w:rsidR="00E64491">
        <w:rPr>
          <w:rFonts w:ascii="Times New Roman" w:hAnsi="Times New Roman"/>
          <w:szCs w:val="24"/>
        </w:rPr>
        <w:t>,</w:t>
      </w:r>
      <w:r w:rsidR="003B5C34">
        <w:rPr>
          <w:rFonts w:ascii="Times New Roman" w:hAnsi="Times New Roman"/>
          <w:szCs w:val="24"/>
        </w:rPr>
        <w:t xml:space="preserve"> de la Universidad de Castilla – La Mancha en su sede del Campus de Cuenca, </w:t>
      </w:r>
      <w:r w:rsidR="001B0479">
        <w:rPr>
          <w:rFonts w:ascii="Times New Roman" w:hAnsi="Times New Roman"/>
          <w:szCs w:val="24"/>
        </w:rPr>
        <w:t>Burillo inició</w:t>
      </w:r>
      <w:r w:rsidR="003B5C34">
        <w:rPr>
          <w:rFonts w:ascii="Times New Roman" w:hAnsi="Times New Roman"/>
          <w:szCs w:val="24"/>
        </w:rPr>
        <w:t xml:space="preserve"> la ronda de reuniones con los rectores y</w:t>
      </w:r>
      <w:r w:rsidR="006144C4">
        <w:rPr>
          <w:rFonts w:ascii="Times New Roman" w:hAnsi="Times New Roman"/>
          <w:szCs w:val="24"/>
        </w:rPr>
        <w:t xml:space="preserve"> su equipos de las u</w:t>
      </w:r>
      <w:r w:rsidR="003B5C34">
        <w:rPr>
          <w:rFonts w:ascii="Times New Roman" w:hAnsi="Times New Roman"/>
          <w:szCs w:val="24"/>
        </w:rPr>
        <w:t xml:space="preserve">niversidades con </w:t>
      </w:r>
      <w:r w:rsidR="00233E92">
        <w:rPr>
          <w:rFonts w:ascii="Times New Roman" w:hAnsi="Times New Roman"/>
          <w:szCs w:val="24"/>
        </w:rPr>
        <w:t>presencia</w:t>
      </w:r>
      <w:r w:rsidR="003B5C34">
        <w:rPr>
          <w:rFonts w:ascii="Times New Roman" w:hAnsi="Times New Roman"/>
          <w:szCs w:val="24"/>
        </w:rPr>
        <w:t xml:space="preserve"> en el ter</w:t>
      </w:r>
      <w:r w:rsidR="006144C4">
        <w:rPr>
          <w:rFonts w:ascii="Times New Roman" w:hAnsi="Times New Roman"/>
          <w:szCs w:val="24"/>
        </w:rPr>
        <w:t xml:space="preserve">ritorio de Serranía Celtibérica. </w:t>
      </w:r>
      <w:r w:rsidR="001B0479">
        <w:rPr>
          <w:rFonts w:ascii="Times New Roman" w:hAnsi="Times New Roman"/>
          <w:szCs w:val="24"/>
        </w:rPr>
        <w:t>Tod</w:t>
      </w:r>
      <w:r w:rsidR="006144C4">
        <w:rPr>
          <w:rFonts w:ascii="Times New Roman" w:hAnsi="Times New Roman"/>
          <w:szCs w:val="24"/>
        </w:rPr>
        <w:t xml:space="preserve">as </w:t>
      </w:r>
      <w:r w:rsidR="001B0479">
        <w:rPr>
          <w:rFonts w:ascii="Times New Roman" w:hAnsi="Times New Roman"/>
          <w:szCs w:val="24"/>
        </w:rPr>
        <w:t xml:space="preserve">las </w:t>
      </w:r>
      <w:r w:rsidR="006144C4">
        <w:rPr>
          <w:rFonts w:ascii="Times New Roman" w:hAnsi="Times New Roman"/>
          <w:szCs w:val="24"/>
        </w:rPr>
        <w:t xml:space="preserve">universidades </w:t>
      </w:r>
      <w:r w:rsidR="001B0479">
        <w:rPr>
          <w:rFonts w:ascii="Times New Roman" w:hAnsi="Times New Roman"/>
          <w:szCs w:val="24"/>
        </w:rPr>
        <w:t>con sedes en este territorio han acordado la próxima firma de un Convenio para constituir la Red de Universidades de la Serranía Celtibérica</w:t>
      </w:r>
      <w:r w:rsidR="00233E92">
        <w:rPr>
          <w:rFonts w:ascii="Times New Roman" w:hAnsi="Times New Roman"/>
          <w:szCs w:val="24"/>
        </w:rPr>
        <w:t xml:space="preserve"> (RUSC)</w:t>
      </w:r>
      <w:r w:rsidR="001B0479">
        <w:rPr>
          <w:rFonts w:ascii="Times New Roman" w:hAnsi="Times New Roman"/>
          <w:szCs w:val="24"/>
        </w:rPr>
        <w:t xml:space="preserve">. Estas universidades son, además de la de Zaragoza con campus en Teruel, </w:t>
      </w:r>
      <w:r w:rsidR="006144C4">
        <w:rPr>
          <w:rFonts w:ascii="Times New Roman" w:hAnsi="Times New Roman"/>
          <w:szCs w:val="24"/>
        </w:rPr>
        <w:t>Al</w:t>
      </w:r>
      <w:r w:rsidR="001B0479">
        <w:rPr>
          <w:rFonts w:ascii="Times New Roman" w:hAnsi="Times New Roman"/>
          <w:szCs w:val="24"/>
        </w:rPr>
        <w:t>calá de Henares con c</w:t>
      </w:r>
      <w:r w:rsidR="0046217D">
        <w:rPr>
          <w:rFonts w:ascii="Times New Roman" w:hAnsi="Times New Roman"/>
          <w:szCs w:val="24"/>
        </w:rPr>
        <w:t>ampus en Guadalajara, Bu</w:t>
      </w:r>
      <w:r w:rsidR="001B0479">
        <w:rPr>
          <w:rFonts w:ascii="Times New Roman" w:hAnsi="Times New Roman"/>
          <w:szCs w:val="24"/>
        </w:rPr>
        <w:t>rgos, Castilla – La Mancha con c</w:t>
      </w:r>
      <w:r w:rsidR="0046217D">
        <w:rPr>
          <w:rFonts w:ascii="Times New Roman" w:hAnsi="Times New Roman"/>
          <w:szCs w:val="24"/>
        </w:rPr>
        <w:t>ampus en Cuen</w:t>
      </w:r>
      <w:r w:rsidR="001B0479">
        <w:rPr>
          <w:rFonts w:ascii="Times New Roman" w:hAnsi="Times New Roman"/>
          <w:szCs w:val="24"/>
        </w:rPr>
        <w:t>ca, Jaume I de Castellón, Polité</w:t>
      </w:r>
      <w:r w:rsidR="0046217D">
        <w:rPr>
          <w:rFonts w:ascii="Times New Roman" w:hAnsi="Times New Roman"/>
          <w:szCs w:val="24"/>
        </w:rPr>
        <w:t xml:space="preserve">cnica de Valencia, La Rioja, Valencia, Valladolid </w:t>
      </w:r>
      <w:r w:rsidR="001B0479">
        <w:rPr>
          <w:rFonts w:ascii="Times New Roman" w:hAnsi="Times New Roman"/>
          <w:szCs w:val="24"/>
        </w:rPr>
        <w:t xml:space="preserve">con campus en Soria </w:t>
      </w:r>
      <w:r w:rsidR="0046217D">
        <w:rPr>
          <w:rFonts w:ascii="Times New Roman" w:hAnsi="Times New Roman"/>
          <w:szCs w:val="24"/>
        </w:rPr>
        <w:t xml:space="preserve">y la UNED con centros asociados en </w:t>
      </w:r>
      <w:r w:rsidR="0046217D" w:rsidRPr="001D17D8">
        <w:rPr>
          <w:rFonts w:ascii="Times New Roman" w:hAnsi="Times New Roman"/>
          <w:szCs w:val="24"/>
        </w:rPr>
        <w:t>Calatayud, Cuenca, Guadalajara, Molina de Aragón, Huete, Soria, Sigüenza y Teruel.</w:t>
      </w:r>
    </w:p>
    <w:p w14:paraId="6C45D5E8" w14:textId="77777777" w:rsidR="00E432D7" w:rsidRDefault="00E432D7" w:rsidP="00A64C95">
      <w:pPr>
        <w:tabs>
          <w:tab w:val="left" w:pos="963"/>
        </w:tabs>
        <w:jc w:val="both"/>
        <w:rPr>
          <w:rFonts w:ascii="Times New Roman" w:hAnsi="Times New Roman"/>
          <w:szCs w:val="24"/>
        </w:rPr>
      </w:pPr>
    </w:p>
    <w:p w14:paraId="4E2C2449" w14:textId="091E6962" w:rsidR="00E432D7" w:rsidRPr="00E432D7" w:rsidRDefault="001B0479" w:rsidP="00A64C95">
      <w:pPr>
        <w:tabs>
          <w:tab w:val="left" w:pos="963"/>
        </w:tabs>
        <w:jc w:val="both"/>
        <w:rPr>
          <w:rFonts w:ascii="Times New Roman" w:hAnsi="Times New Roman"/>
          <w:b/>
          <w:szCs w:val="24"/>
        </w:rPr>
      </w:pPr>
      <w:r>
        <w:rPr>
          <w:rFonts w:ascii="Times New Roman" w:hAnsi="Times New Roman"/>
          <w:b/>
          <w:szCs w:val="24"/>
        </w:rPr>
        <w:t>La extrema situación de la Serranía Celtibérica</w:t>
      </w:r>
    </w:p>
    <w:p w14:paraId="6B16A974" w14:textId="2B308823" w:rsidR="00E432D7" w:rsidRPr="00E432D7" w:rsidRDefault="00E432D7" w:rsidP="00A64C95">
      <w:pPr>
        <w:pStyle w:val="NormalWeb"/>
        <w:ind w:right="-143" w:firstLine="567"/>
        <w:jc w:val="both"/>
      </w:pPr>
      <w:r>
        <w:t xml:space="preserve">El Convenio consta de un capítulo de antecedentes en donde se expone el origen del </w:t>
      </w:r>
      <w:r w:rsidR="00BC794F">
        <w:t xml:space="preserve">proyecto Serranía Celtibérica, </w:t>
      </w:r>
      <w:r w:rsidR="00381866">
        <w:t>surgido en la Universidad de Zaragoza,</w:t>
      </w:r>
      <w:r w:rsidR="00BC794F">
        <w:t xml:space="preserve"> Campus de Teruel,</w:t>
      </w:r>
      <w:r w:rsidRPr="00E432D7">
        <w:t xml:space="preserve"> con la participación de 30 investigadores de diferentes universidades e instituciones</w:t>
      </w:r>
      <w:r w:rsidR="00BC794F">
        <w:t xml:space="preserve"> bajo la dirección de Francisco Burillo. Este proyecto ha sido </w:t>
      </w:r>
      <w:r w:rsidRPr="00E432D7">
        <w:t>financiado por el Ministerio de Economía y Competitividad y fondos FEDER</w:t>
      </w:r>
      <w:r w:rsidR="00F74B30">
        <w:t>, y</w:t>
      </w:r>
      <w:r w:rsidRPr="00E432D7">
        <w:t xml:space="preserve"> ha permitido visibilizar la especificidad de la Serranía Celtibérica y desarrollar estrategias para su regeneración.</w:t>
      </w:r>
    </w:p>
    <w:p w14:paraId="06E64A21" w14:textId="77777777" w:rsidR="00E432D7" w:rsidRPr="00E432D7" w:rsidRDefault="00E432D7" w:rsidP="00A64C95">
      <w:pPr>
        <w:pStyle w:val="NormalWeb"/>
        <w:ind w:right="-143" w:firstLine="567"/>
        <w:jc w:val="both"/>
        <w:rPr>
          <w:color w:val="262626"/>
        </w:rPr>
      </w:pPr>
      <w:r w:rsidRPr="00E432D7">
        <w:rPr>
          <w:color w:val="262626"/>
        </w:rPr>
        <w:lastRenderedPageBreak/>
        <w:t xml:space="preserve">Este territorio interregional se extiende a lo largo del Sistema Ibérico Central, por las </w:t>
      </w:r>
      <w:r w:rsidRPr="00E432D7">
        <w:t>Comunidades Autónomas de Aragón, Castilla León, Castilla La Mancha, Comunidad Valenciana y Rioja</w:t>
      </w:r>
      <w:r w:rsidRPr="00E432D7">
        <w:rPr>
          <w:color w:val="262626"/>
        </w:rPr>
        <w:t>, presenta una extensión de 65.825 km</w:t>
      </w:r>
      <w:r w:rsidRPr="00E432D7">
        <w:rPr>
          <w:color w:val="262626"/>
          <w:vertAlign w:val="superscript"/>
        </w:rPr>
        <w:t xml:space="preserve">2 </w:t>
      </w:r>
      <w:r w:rsidRPr="00E432D7">
        <w:t>(si fuera una Comunidad Autónoma española sólo estaría superado por Andalucía y Castilla y León)</w:t>
      </w:r>
      <w:r w:rsidRPr="00E432D7">
        <w:rPr>
          <w:color w:val="262626"/>
        </w:rPr>
        <w:t xml:space="preserve"> y está habitado por 499.186 personas censadas, lo que da una densidad de tan sólo 7,58 hab/km</w:t>
      </w:r>
      <w:r w:rsidRPr="00E432D7">
        <w:rPr>
          <w:color w:val="262626"/>
          <w:vertAlign w:val="superscript"/>
        </w:rPr>
        <w:t>2</w:t>
      </w:r>
      <w:r w:rsidRPr="00E432D7">
        <w:rPr>
          <w:color w:val="262626"/>
        </w:rPr>
        <w:t>. Hasta ahora sólo Laponia cumplía con los criterios establecidos por la Unión Europea (UE) para las Regiones Escasamente Pobladas (SPR, Sparsely Populated Regiones) o NUTS2: menos de 8 hab/km</w:t>
      </w:r>
      <w:r w:rsidRPr="00E432D7">
        <w:rPr>
          <w:color w:val="262626"/>
          <w:vertAlign w:val="superscript"/>
        </w:rPr>
        <w:t>2</w:t>
      </w:r>
      <w:r w:rsidRPr="00E432D7">
        <w:rPr>
          <w:color w:val="262626"/>
        </w:rPr>
        <w:t>, pero mientras Laponia presenta una situación estructural y tiene un desarrollo sostenible, la Serranía Celtibérica presenta un deterioro progresivo que ha conducido a una organización poblacional extrema</w:t>
      </w:r>
      <w:r w:rsidRPr="00E432D7">
        <w:t xml:space="preserve"> pues, si en toda España </w:t>
      </w:r>
      <w:r w:rsidRPr="00E432D7">
        <w:rPr>
          <w:color w:val="262626"/>
        </w:rPr>
        <w:t xml:space="preserve">hay 393 núcleos por encima de 20.000 habitantes en la Serranía Celtibérica sólo hay 4. Pero lo más grave son aquellas poblaciones en proceso de extinción a corto plazo, las que tienen menos de 100 habitantes: mientras en el resto de España hay 566 en la Serranía Celtibérica son 614. </w:t>
      </w:r>
    </w:p>
    <w:p w14:paraId="4BB67FD2" w14:textId="0FF9923E" w:rsidR="00E432D7" w:rsidRPr="00B07916" w:rsidRDefault="00E432D7" w:rsidP="00A64C95">
      <w:pPr>
        <w:pStyle w:val="NormalWeb"/>
        <w:ind w:right="-143" w:firstLine="567"/>
        <w:jc w:val="both"/>
        <w:rPr>
          <w:color w:val="262626"/>
        </w:rPr>
      </w:pPr>
      <w:r w:rsidRPr="00E432D7">
        <w:rPr>
          <w:color w:val="262626"/>
        </w:rPr>
        <w:t>La Serranía Celtibérica es, con creces, el territorio más desarticulado de la Unión Europea debido a que su situación interregional la ha alejado desde inicios del siglo XX de cualquier Plan de Desarrollo. Une a su extrema despoblación la tasa de envejecimiento mayor de la UE, por lo que puede considerarse en gran parte biológicamente muerta si no se toman con la máxima urgencia medidas adecuadas para su desarrollo</w:t>
      </w:r>
      <w:r w:rsidR="00C12689">
        <w:rPr>
          <w:color w:val="262626"/>
          <w:sz w:val="22"/>
          <w:szCs w:val="22"/>
        </w:rPr>
        <w:t xml:space="preserve"> </w:t>
      </w:r>
      <w:r w:rsidR="00C12689" w:rsidRPr="00C12689">
        <w:rPr>
          <w:color w:val="262626"/>
        </w:rPr>
        <w:t>y regeneración.</w:t>
      </w:r>
      <w:r w:rsidRPr="00E432D7">
        <w:rPr>
          <w:color w:val="262626"/>
          <w:sz w:val="22"/>
          <w:szCs w:val="22"/>
        </w:rPr>
        <w:t xml:space="preserve"> </w:t>
      </w:r>
    </w:p>
    <w:p w14:paraId="01EA4238" w14:textId="6CBF7A8C" w:rsidR="00381866" w:rsidRPr="00B07916" w:rsidRDefault="00381866" w:rsidP="00531CCC">
      <w:pPr>
        <w:pStyle w:val="NormalWeb"/>
        <w:ind w:right="-143" w:firstLine="567"/>
        <w:jc w:val="both"/>
        <w:rPr>
          <w:color w:val="262626"/>
        </w:rPr>
      </w:pPr>
      <w:r w:rsidRPr="00B07916">
        <w:rPr>
          <w:color w:val="262626"/>
        </w:rPr>
        <w:t>La UE viene legislando en su política de desarrollo para los territorios con desventajas relativas por sus condicionantes geográficos, debilidades estructurales, problemas de accesibilidad y alejamiento de los centros demográficos y de servicios importantes. En concreto el Artículo 174 del Tratado de Lisboa establece: “</w:t>
      </w:r>
      <w:r w:rsidRPr="00B07916">
        <w:rPr>
          <w:i/>
          <w:color w:val="262626"/>
        </w:rPr>
        <w:t xml:space="preserve">A fin de promover un desarrollo armonioso del conjunto de la Unión, ésta desarrollará y proseguirá su acción encaminada a reforzar su cohesión económica, social y territorial. La Unión se propondrá, en particular; reducir las diferencias entre los niveles de desarrollo de las diversas regiones y el retraso de las regiones menos favorecidas. Entre las regiones afectadas se prestará especial atención a las zonas </w:t>
      </w:r>
      <w:r w:rsidRPr="00B07916">
        <w:rPr>
          <w:i/>
        </w:rPr>
        <w:t>rurales,</w:t>
      </w:r>
      <w:r w:rsidRPr="00B07916">
        <w:rPr>
          <w:i/>
          <w:color w:val="FF0000"/>
        </w:rPr>
        <w:t xml:space="preserve"> </w:t>
      </w:r>
      <w:r w:rsidRPr="00B07916">
        <w:rPr>
          <w:i/>
          <w:color w:val="262626"/>
        </w:rPr>
        <w:t>afectadas por una transición industrial y a las regiones que padecen desventajas naturales o demográficas graves y permanentes como, por ejemplo, las regiones más septentrionales con una escasa densidad de población y las regiones insulares, transfronterizas y de montaña</w:t>
      </w:r>
      <w:r w:rsidRPr="00B07916">
        <w:rPr>
          <w:color w:val="262626"/>
        </w:rPr>
        <w:t>”.</w:t>
      </w:r>
    </w:p>
    <w:p w14:paraId="12FB09BB" w14:textId="08CD456C" w:rsidR="00381866" w:rsidRPr="00B07916" w:rsidRDefault="00381866" w:rsidP="00531CCC">
      <w:pPr>
        <w:pStyle w:val="NormalWeb"/>
        <w:ind w:right="-143" w:firstLine="567"/>
        <w:jc w:val="both"/>
        <w:rPr>
          <w:color w:val="262626"/>
        </w:rPr>
      </w:pPr>
      <w:r w:rsidRPr="00B07916">
        <w:rPr>
          <w:color w:val="262626"/>
        </w:rPr>
        <w:t xml:space="preserve">En aplicación del Tratado de Lisboa para la política de cohesión la Comisión Europea ha definido las Inversiones Territoriales Integradas (ITI) como </w:t>
      </w:r>
      <w:r w:rsidRPr="00B07916">
        <w:t>un nuevo instrumento de gestión que permite reunir los fondos de varios ejes prioritarios y de uno o varios Programas para implementar de forma transversal intervenciones multidimensionales e intersectoriales</w:t>
      </w:r>
      <w:r w:rsidRPr="00B07916">
        <w:rPr>
          <w:color w:val="262626"/>
        </w:rPr>
        <w:t>, con el fin de conseguir un impacto territorial más firme de las políticas de la UE, lo que puede suponer ir más allá de los límites administrativos tradicionales, como sería el caso de la interregión Serranía Celtibérica.</w:t>
      </w:r>
    </w:p>
    <w:p w14:paraId="1489B4D0" w14:textId="77777777" w:rsidR="00381866" w:rsidRPr="00E432D7" w:rsidRDefault="00381866" w:rsidP="00A64C95">
      <w:pPr>
        <w:pStyle w:val="NormalWeb"/>
        <w:ind w:right="-143" w:firstLine="567"/>
        <w:jc w:val="both"/>
        <w:rPr>
          <w:color w:val="262626"/>
          <w:sz w:val="22"/>
          <w:szCs w:val="22"/>
        </w:rPr>
      </w:pPr>
    </w:p>
    <w:p w14:paraId="3E561166" w14:textId="77777777" w:rsidR="00E432D7" w:rsidRPr="00882519" w:rsidRDefault="00E432D7" w:rsidP="00A64C95">
      <w:pPr>
        <w:pStyle w:val="NormalWeb"/>
        <w:ind w:right="-143" w:firstLine="567"/>
        <w:jc w:val="both"/>
        <w:rPr>
          <w:rFonts w:ascii="Arial" w:hAnsi="Arial" w:cs="Arial"/>
          <w:sz w:val="22"/>
          <w:szCs w:val="22"/>
        </w:rPr>
      </w:pPr>
    </w:p>
    <w:p w14:paraId="4629A70E" w14:textId="6F1042EB" w:rsidR="00ED18E1" w:rsidRPr="00ED18E1" w:rsidRDefault="00531CCC" w:rsidP="00A64C95">
      <w:pPr>
        <w:jc w:val="both"/>
        <w:rPr>
          <w:rFonts w:ascii="Times New Roman" w:hAnsi="Times New Roman"/>
          <w:b/>
          <w:szCs w:val="24"/>
          <w:lang w:val="es-ES"/>
        </w:rPr>
      </w:pPr>
      <w:r>
        <w:rPr>
          <w:rFonts w:ascii="Times New Roman" w:hAnsi="Times New Roman"/>
          <w:b/>
          <w:szCs w:val="24"/>
          <w:lang w:val="es-ES"/>
        </w:rPr>
        <w:t>Actividades de la RUSC.</w:t>
      </w:r>
    </w:p>
    <w:p w14:paraId="46FA930F" w14:textId="3A06CC7F" w:rsidR="00ED18E1" w:rsidRPr="00ED18E1" w:rsidRDefault="00C848DC" w:rsidP="00A64C95">
      <w:pPr>
        <w:autoSpaceDE w:val="0"/>
        <w:autoSpaceDN w:val="0"/>
        <w:adjustRightInd w:val="0"/>
        <w:jc w:val="both"/>
        <w:rPr>
          <w:rFonts w:ascii="Times New Roman" w:hAnsi="Times New Roman"/>
          <w:b/>
          <w:iCs/>
          <w:szCs w:val="24"/>
        </w:rPr>
      </w:pPr>
      <w:r>
        <w:rPr>
          <w:rFonts w:ascii="Times New Roman" w:hAnsi="Times New Roman"/>
          <w:color w:val="000000"/>
          <w:szCs w:val="24"/>
        </w:rPr>
        <w:t>En el Convenio se recoge que l</w:t>
      </w:r>
      <w:r w:rsidR="00ED18E1" w:rsidRPr="00ED18E1">
        <w:rPr>
          <w:rFonts w:ascii="Times New Roman" w:hAnsi="Times New Roman"/>
          <w:color w:val="000000"/>
          <w:szCs w:val="24"/>
        </w:rPr>
        <w:t xml:space="preserve">as universidades </w:t>
      </w:r>
      <w:r>
        <w:rPr>
          <w:rFonts w:ascii="Times New Roman" w:hAnsi="Times New Roman"/>
          <w:color w:val="000000"/>
          <w:szCs w:val="24"/>
        </w:rPr>
        <w:t>que componen la RUSC</w:t>
      </w:r>
      <w:r w:rsidR="00ED18E1" w:rsidRPr="00ED18E1">
        <w:rPr>
          <w:rFonts w:ascii="Times New Roman" w:hAnsi="Times New Roman"/>
          <w:color w:val="000000"/>
          <w:szCs w:val="24"/>
        </w:rPr>
        <w:t xml:space="preserve"> colaborarán en las siguientes actividades dentro del ámbito de actuación definido:</w:t>
      </w:r>
    </w:p>
    <w:p w14:paraId="15E89186" w14:textId="77777777" w:rsidR="00ED18E1" w:rsidRPr="00ED18E1" w:rsidRDefault="00ED18E1" w:rsidP="00A64C95">
      <w:pPr>
        <w:pStyle w:val="Listavistosa-nfasis11"/>
        <w:numPr>
          <w:ilvl w:val="0"/>
          <w:numId w:val="4"/>
        </w:numPr>
        <w:autoSpaceDE w:val="0"/>
        <w:autoSpaceDN w:val="0"/>
        <w:adjustRightInd w:val="0"/>
        <w:spacing w:after="0" w:line="240" w:lineRule="auto"/>
        <w:ind w:left="567" w:hanging="283"/>
        <w:jc w:val="both"/>
        <w:rPr>
          <w:rFonts w:ascii="Times New Roman" w:hAnsi="Times New Roman" w:cs="Times New Roman"/>
          <w:sz w:val="24"/>
          <w:szCs w:val="24"/>
        </w:rPr>
      </w:pPr>
      <w:r w:rsidRPr="00ED18E1">
        <w:rPr>
          <w:rFonts w:ascii="Times New Roman" w:hAnsi="Times New Roman" w:cs="Times New Roman"/>
          <w:sz w:val="24"/>
          <w:szCs w:val="24"/>
        </w:rPr>
        <w:t>Realización conjunta de proyectos y programas de investigación de interés común para las instituciones.</w:t>
      </w:r>
    </w:p>
    <w:p w14:paraId="16238AD0" w14:textId="77777777" w:rsidR="00ED18E1" w:rsidRPr="00ED18E1" w:rsidRDefault="00ED18E1" w:rsidP="00A64C95">
      <w:pPr>
        <w:pStyle w:val="Listavistosa-nfasis11"/>
        <w:numPr>
          <w:ilvl w:val="0"/>
          <w:numId w:val="4"/>
        </w:numPr>
        <w:autoSpaceDE w:val="0"/>
        <w:autoSpaceDN w:val="0"/>
        <w:adjustRightInd w:val="0"/>
        <w:spacing w:after="0" w:line="240" w:lineRule="auto"/>
        <w:ind w:left="567" w:hanging="283"/>
        <w:jc w:val="both"/>
        <w:rPr>
          <w:rFonts w:ascii="Times New Roman" w:hAnsi="Times New Roman" w:cs="Times New Roman"/>
          <w:sz w:val="24"/>
          <w:szCs w:val="24"/>
        </w:rPr>
      </w:pPr>
      <w:r w:rsidRPr="00ED18E1">
        <w:rPr>
          <w:rFonts w:ascii="Times New Roman" w:hAnsi="Times New Roman" w:cs="Times New Roman"/>
          <w:sz w:val="24"/>
          <w:szCs w:val="24"/>
        </w:rPr>
        <w:t>Colaboración, mediante actividades de I+D+i a la mejora y aprovechamiento de los recursos patrimoniales, paisajísticos, naturales, culturales y agroalimentarios de la “Serranía Celtibérica”.</w:t>
      </w:r>
    </w:p>
    <w:p w14:paraId="6C910BD3" w14:textId="77777777" w:rsidR="00ED18E1" w:rsidRPr="00ED18E1" w:rsidRDefault="00ED18E1" w:rsidP="00A64C95">
      <w:pPr>
        <w:pStyle w:val="Listavistosa-nfasis11"/>
        <w:numPr>
          <w:ilvl w:val="0"/>
          <w:numId w:val="4"/>
        </w:numPr>
        <w:autoSpaceDE w:val="0"/>
        <w:autoSpaceDN w:val="0"/>
        <w:adjustRightInd w:val="0"/>
        <w:spacing w:after="0" w:line="240" w:lineRule="auto"/>
        <w:ind w:left="567" w:hanging="283"/>
        <w:jc w:val="both"/>
        <w:rPr>
          <w:rFonts w:ascii="Times New Roman" w:hAnsi="Times New Roman" w:cs="Times New Roman"/>
          <w:sz w:val="24"/>
          <w:szCs w:val="24"/>
        </w:rPr>
      </w:pPr>
      <w:r w:rsidRPr="00ED18E1">
        <w:rPr>
          <w:rFonts w:ascii="Times New Roman" w:hAnsi="Times New Roman" w:cs="Times New Roman"/>
          <w:sz w:val="24"/>
          <w:szCs w:val="24"/>
        </w:rPr>
        <w:t xml:space="preserve">Potenciar la realización de actividades socioculturales que incidan en el desarrollo sostenible del territorio y supongan la promoción conjunta, nacional e </w:t>
      </w:r>
      <w:r w:rsidRPr="00ED18E1">
        <w:rPr>
          <w:rFonts w:ascii="Times New Roman" w:hAnsi="Times New Roman" w:cs="Times New Roman"/>
          <w:sz w:val="24"/>
          <w:szCs w:val="24"/>
        </w:rPr>
        <w:lastRenderedPageBreak/>
        <w:t>internacional, de su rico patrimonio natural y cultural y de sus productos agroalimentarios.</w:t>
      </w:r>
    </w:p>
    <w:p w14:paraId="137F9BAF" w14:textId="77777777" w:rsidR="00ED18E1" w:rsidRPr="00ED18E1" w:rsidRDefault="00ED18E1" w:rsidP="00A64C95">
      <w:pPr>
        <w:pStyle w:val="Listavistosa-nfasis11"/>
        <w:numPr>
          <w:ilvl w:val="0"/>
          <w:numId w:val="4"/>
        </w:numPr>
        <w:autoSpaceDE w:val="0"/>
        <w:autoSpaceDN w:val="0"/>
        <w:adjustRightInd w:val="0"/>
        <w:spacing w:after="0" w:line="240" w:lineRule="auto"/>
        <w:ind w:left="567" w:hanging="283"/>
        <w:jc w:val="both"/>
        <w:rPr>
          <w:rFonts w:ascii="Times New Roman" w:hAnsi="Times New Roman" w:cs="Times New Roman"/>
          <w:sz w:val="24"/>
          <w:szCs w:val="24"/>
        </w:rPr>
      </w:pPr>
      <w:r w:rsidRPr="00ED18E1">
        <w:rPr>
          <w:rFonts w:ascii="Times New Roman" w:hAnsi="Times New Roman" w:cs="Times New Roman"/>
          <w:color w:val="000000"/>
          <w:sz w:val="24"/>
          <w:szCs w:val="24"/>
        </w:rPr>
        <w:t>Celebración y participación en encuentros y jornadas de fomento de la cultura celtíbera, en particular, y de todos los ámbitos patrimoniales, en general.</w:t>
      </w:r>
    </w:p>
    <w:p w14:paraId="21845022" w14:textId="77777777" w:rsidR="00ED18E1" w:rsidRPr="00ED18E1" w:rsidRDefault="00ED18E1" w:rsidP="00A64C95">
      <w:pPr>
        <w:pStyle w:val="Listavistosa-nfasis11"/>
        <w:numPr>
          <w:ilvl w:val="0"/>
          <w:numId w:val="4"/>
        </w:numPr>
        <w:autoSpaceDE w:val="0"/>
        <w:autoSpaceDN w:val="0"/>
        <w:adjustRightInd w:val="0"/>
        <w:spacing w:after="0" w:line="240" w:lineRule="auto"/>
        <w:ind w:left="567" w:hanging="283"/>
        <w:jc w:val="both"/>
        <w:rPr>
          <w:rFonts w:ascii="Times New Roman" w:hAnsi="Times New Roman" w:cs="Times New Roman"/>
          <w:sz w:val="24"/>
          <w:szCs w:val="24"/>
        </w:rPr>
      </w:pPr>
      <w:r w:rsidRPr="00ED18E1">
        <w:rPr>
          <w:rFonts w:ascii="Times New Roman" w:hAnsi="Times New Roman" w:cs="Times New Roman"/>
          <w:color w:val="000000"/>
          <w:sz w:val="24"/>
          <w:szCs w:val="24"/>
        </w:rPr>
        <w:t>Identificación de oportunidades de financiación para el desarrollo de las actividades a realizar.</w:t>
      </w:r>
    </w:p>
    <w:p w14:paraId="6C02EDBC" w14:textId="77777777" w:rsidR="00ED18E1" w:rsidRPr="00ED18E1" w:rsidRDefault="00ED18E1" w:rsidP="00A64C95">
      <w:pPr>
        <w:pStyle w:val="Listavistosa-nfasis11"/>
        <w:numPr>
          <w:ilvl w:val="0"/>
          <w:numId w:val="4"/>
        </w:numPr>
        <w:autoSpaceDE w:val="0"/>
        <w:autoSpaceDN w:val="0"/>
        <w:adjustRightInd w:val="0"/>
        <w:spacing w:after="0" w:line="240" w:lineRule="auto"/>
        <w:ind w:left="567" w:hanging="283"/>
        <w:jc w:val="both"/>
        <w:rPr>
          <w:rFonts w:ascii="Times New Roman" w:hAnsi="Times New Roman" w:cs="Times New Roman"/>
          <w:sz w:val="24"/>
          <w:szCs w:val="24"/>
        </w:rPr>
      </w:pPr>
      <w:r w:rsidRPr="00ED18E1">
        <w:rPr>
          <w:rFonts w:ascii="Times New Roman" w:hAnsi="Times New Roman" w:cs="Times New Roman"/>
          <w:color w:val="000000"/>
          <w:sz w:val="24"/>
          <w:szCs w:val="24"/>
        </w:rPr>
        <w:t xml:space="preserve">Fomento de la participación de las instituciones en proyectos de I+D+i en materia de </w:t>
      </w:r>
      <w:r w:rsidRPr="00ED18E1">
        <w:rPr>
          <w:rFonts w:ascii="Times New Roman" w:hAnsi="Times New Roman" w:cs="Times New Roman"/>
          <w:sz w:val="24"/>
          <w:szCs w:val="24"/>
        </w:rPr>
        <w:t>estudio y conocimiento del patrimonio natural, cultural y agroalimentario de la Serranía Celtibérica,</w:t>
      </w:r>
      <w:r w:rsidRPr="00ED18E1">
        <w:rPr>
          <w:rFonts w:ascii="Times New Roman" w:hAnsi="Times New Roman" w:cs="Times New Roman"/>
          <w:color w:val="000000"/>
          <w:sz w:val="24"/>
          <w:szCs w:val="24"/>
        </w:rPr>
        <w:t xml:space="preserve"> en convocatorias regionales, nacionales y europeas.</w:t>
      </w:r>
    </w:p>
    <w:p w14:paraId="476726C7" w14:textId="77777777" w:rsidR="00ED18E1" w:rsidRPr="00ED18E1" w:rsidRDefault="00ED18E1" w:rsidP="00A64C95">
      <w:pPr>
        <w:pStyle w:val="Listavistosa-nfasis11"/>
        <w:numPr>
          <w:ilvl w:val="0"/>
          <w:numId w:val="4"/>
        </w:numPr>
        <w:autoSpaceDE w:val="0"/>
        <w:autoSpaceDN w:val="0"/>
        <w:adjustRightInd w:val="0"/>
        <w:spacing w:after="0" w:line="240" w:lineRule="auto"/>
        <w:ind w:left="567" w:hanging="283"/>
        <w:jc w:val="both"/>
        <w:rPr>
          <w:rFonts w:ascii="Times New Roman" w:hAnsi="Times New Roman" w:cs="Times New Roman"/>
          <w:sz w:val="24"/>
          <w:szCs w:val="24"/>
        </w:rPr>
      </w:pPr>
      <w:r w:rsidRPr="00ED18E1">
        <w:rPr>
          <w:rFonts w:ascii="Times New Roman" w:hAnsi="Times New Roman" w:cs="Times New Roman"/>
          <w:color w:val="000000"/>
          <w:sz w:val="24"/>
          <w:szCs w:val="24"/>
        </w:rPr>
        <w:t>Colaboración con otros organismos, públicos o privados, para la consecución de los objetivos marcados en este convenio.</w:t>
      </w:r>
    </w:p>
    <w:p w14:paraId="5B478645" w14:textId="77777777" w:rsidR="00ED18E1" w:rsidRPr="00ED18E1" w:rsidRDefault="00ED18E1" w:rsidP="00A64C95">
      <w:pPr>
        <w:autoSpaceDE w:val="0"/>
        <w:autoSpaceDN w:val="0"/>
        <w:adjustRightInd w:val="0"/>
        <w:jc w:val="both"/>
        <w:rPr>
          <w:rFonts w:ascii="Times New Roman" w:hAnsi="Times New Roman"/>
          <w:szCs w:val="24"/>
        </w:rPr>
      </w:pPr>
      <w:r w:rsidRPr="00ED18E1">
        <w:rPr>
          <w:rFonts w:ascii="Times New Roman" w:hAnsi="Times New Roman"/>
          <w:szCs w:val="24"/>
        </w:rPr>
        <w:t>El elenco de posibles actividades de colaboración tiene carácter enunciativo, pudiendo ampliarse a cualquier otra actividad comprendida en el objeto del presente convenio, sin necesidad de modificarlo.</w:t>
      </w:r>
    </w:p>
    <w:p w14:paraId="15334E0C" w14:textId="77777777" w:rsidR="00E432D7" w:rsidRDefault="00E432D7" w:rsidP="00A64C95">
      <w:pPr>
        <w:tabs>
          <w:tab w:val="left" w:pos="963"/>
        </w:tabs>
        <w:jc w:val="both"/>
        <w:rPr>
          <w:rFonts w:ascii="Times New Roman" w:hAnsi="Times New Roman"/>
          <w:szCs w:val="24"/>
        </w:rPr>
      </w:pPr>
    </w:p>
    <w:p w14:paraId="2CE30D90" w14:textId="61C33548" w:rsidR="00F1451C" w:rsidRPr="00F1451C" w:rsidRDefault="002433FF" w:rsidP="00A64C95">
      <w:pPr>
        <w:tabs>
          <w:tab w:val="left" w:pos="963"/>
        </w:tabs>
        <w:jc w:val="both"/>
        <w:rPr>
          <w:rFonts w:ascii="Times New Roman" w:hAnsi="Times New Roman"/>
          <w:b/>
          <w:szCs w:val="24"/>
        </w:rPr>
      </w:pPr>
      <w:r>
        <w:rPr>
          <w:rFonts w:ascii="Times New Roman" w:hAnsi="Times New Roman"/>
          <w:b/>
          <w:szCs w:val="24"/>
        </w:rPr>
        <w:t>Las Universidades uno de los tres pilares para la</w:t>
      </w:r>
      <w:r w:rsidR="00F1451C" w:rsidRPr="00F1451C">
        <w:rPr>
          <w:rFonts w:ascii="Times New Roman" w:hAnsi="Times New Roman"/>
          <w:b/>
          <w:szCs w:val="24"/>
        </w:rPr>
        <w:t xml:space="preserve"> gobernanza de la Serranía Celtibérica</w:t>
      </w:r>
    </w:p>
    <w:p w14:paraId="78F93D24" w14:textId="5C6C57E8" w:rsidR="0046217D" w:rsidRDefault="00F1530B" w:rsidP="00A64C95">
      <w:pPr>
        <w:tabs>
          <w:tab w:val="left" w:pos="963"/>
        </w:tabs>
        <w:jc w:val="both"/>
        <w:rPr>
          <w:rFonts w:ascii="Times New Roman" w:hAnsi="Times New Roman"/>
          <w:color w:val="262626"/>
          <w:szCs w:val="24"/>
        </w:rPr>
      </w:pPr>
      <w:r>
        <w:rPr>
          <w:rFonts w:ascii="Times New Roman" w:hAnsi="Times New Roman"/>
          <w:szCs w:val="24"/>
        </w:rPr>
        <w:tab/>
      </w:r>
      <w:r w:rsidR="008526B8">
        <w:rPr>
          <w:rFonts w:ascii="Times New Roman" w:hAnsi="Times New Roman"/>
          <w:szCs w:val="24"/>
        </w:rPr>
        <w:t xml:space="preserve">La creación de la </w:t>
      </w:r>
      <w:r w:rsidR="00F1451C">
        <w:rPr>
          <w:rFonts w:ascii="Times New Roman" w:hAnsi="Times New Roman"/>
          <w:szCs w:val="24"/>
        </w:rPr>
        <w:t>Red de Universidades de la Serranía Celtibérica</w:t>
      </w:r>
      <w:r w:rsidR="008526B8">
        <w:rPr>
          <w:rFonts w:ascii="Times New Roman" w:hAnsi="Times New Roman"/>
          <w:szCs w:val="24"/>
        </w:rPr>
        <w:t xml:space="preserve"> </w:t>
      </w:r>
      <w:r w:rsidR="00233E92">
        <w:rPr>
          <w:rFonts w:ascii="Times New Roman" w:hAnsi="Times New Roman"/>
          <w:szCs w:val="24"/>
        </w:rPr>
        <w:t xml:space="preserve">(RUSC) </w:t>
      </w:r>
      <w:r w:rsidR="003B5C34">
        <w:rPr>
          <w:rFonts w:ascii="Times New Roman" w:hAnsi="Times New Roman"/>
          <w:szCs w:val="24"/>
        </w:rPr>
        <w:t>surge al amparo del</w:t>
      </w:r>
      <w:r w:rsidR="008526B8">
        <w:rPr>
          <w:rFonts w:ascii="Times New Roman" w:hAnsi="Times New Roman"/>
          <w:szCs w:val="24"/>
        </w:rPr>
        <w:t xml:space="preserve"> Reglamento nº 1303 / 2013 sobre </w:t>
      </w:r>
      <w:r w:rsidR="008526B8" w:rsidRPr="008526B8">
        <w:rPr>
          <w:rFonts w:ascii="Times New Roman" w:hAnsi="Times New Roman"/>
          <w:color w:val="262626"/>
          <w:szCs w:val="24"/>
        </w:rPr>
        <w:t xml:space="preserve">las disposiciones comunes relativas a los Fondos Estructurales de Inversión Europeos con el fin de favorecer un desarrollo armonioso, equilibrado y sostenible de la UE establece un Marco Estratégico Común. </w:t>
      </w:r>
      <w:r w:rsidR="003B5C34">
        <w:rPr>
          <w:rFonts w:ascii="Times New Roman" w:hAnsi="Times New Roman"/>
          <w:color w:val="262626"/>
          <w:szCs w:val="24"/>
        </w:rPr>
        <w:t>En este documento se s</w:t>
      </w:r>
      <w:r w:rsidR="008526B8" w:rsidRPr="008526B8">
        <w:rPr>
          <w:rFonts w:ascii="Times New Roman" w:hAnsi="Times New Roman"/>
          <w:color w:val="262626"/>
          <w:szCs w:val="24"/>
        </w:rPr>
        <w:t>eñala, así mismo, que en la presentación de estrategias que repercutan en la cohesión social, económica y territorial para favorecer una coordinación eficaz y la creación de sinergias los Estados miembros deben fomentar la participación conjunta con la administración y entidades políticas, de los grupos de acción local, universidades y otras instituciones de enseñanza superior, la industria y los interlocutores sociales.</w:t>
      </w:r>
      <w:r w:rsidR="0046217D">
        <w:rPr>
          <w:rFonts w:ascii="Times New Roman" w:hAnsi="Times New Roman"/>
          <w:color w:val="262626"/>
          <w:szCs w:val="24"/>
        </w:rPr>
        <w:t xml:space="preserve"> </w:t>
      </w:r>
    </w:p>
    <w:p w14:paraId="313F7A3A" w14:textId="3768506E" w:rsidR="00F1530B" w:rsidRDefault="00F1530B" w:rsidP="00A64C95">
      <w:pPr>
        <w:tabs>
          <w:tab w:val="left" w:pos="963"/>
        </w:tabs>
        <w:jc w:val="both"/>
        <w:rPr>
          <w:rFonts w:ascii="Times New Roman" w:hAnsi="Times New Roman"/>
          <w:color w:val="262626"/>
          <w:szCs w:val="24"/>
        </w:rPr>
      </w:pPr>
      <w:r>
        <w:rPr>
          <w:rFonts w:ascii="Times New Roman" w:hAnsi="Times New Roman"/>
          <w:color w:val="262626"/>
          <w:szCs w:val="24"/>
        </w:rPr>
        <w:tab/>
      </w:r>
      <w:r w:rsidR="0046217D">
        <w:rPr>
          <w:rFonts w:ascii="Times New Roman" w:hAnsi="Times New Roman"/>
          <w:color w:val="262626"/>
          <w:szCs w:val="24"/>
        </w:rPr>
        <w:t>Siguiendo esta</w:t>
      </w:r>
      <w:r w:rsidR="00EE0117">
        <w:rPr>
          <w:rFonts w:ascii="Times New Roman" w:hAnsi="Times New Roman"/>
          <w:color w:val="262626"/>
          <w:szCs w:val="24"/>
        </w:rPr>
        <w:t>s</w:t>
      </w:r>
      <w:r w:rsidR="0046217D">
        <w:rPr>
          <w:rFonts w:ascii="Times New Roman" w:hAnsi="Times New Roman"/>
          <w:color w:val="262626"/>
          <w:szCs w:val="24"/>
        </w:rPr>
        <w:t xml:space="preserve"> </w:t>
      </w:r>
      <w:r w:rsidR="00EE0117">
        <w:rPr>
          <w:rFonts w:ascii="Times New Roman" w:hAnsi="Times New Roman"/>
          <w:color w:val="262626"/>
          <w:szCs w:val="24"/>
        </w:rPr>
        <w:t>disposiciones de la UE</w:t>
      </w:r>
      <w:r w:rsidR="0046217D">
        <w:rPr>
          <w:rFonts w:ascii="Times New Roman" w:hAnsi="Times New Roman"/>
          <w:color w:val="262626"/>
          <w:szCs w:val="24"/>
        </w:rPr>
        <w:t xml:space="preserve"> se </w:t>
      </w:r>
      <w:r w:rsidR="00F1451C">
        <w:rPr>
          <w:rFonts w:ascii="Times New Roman" w:hAnsi="Times New Roman"/>
          <w:color w:val="262626"/>
          <w:szCs w:val="24"/>
        </w:rPr>
        <w:t>ha planteado que</w:t>
      </w:r>
      <w:r w:rsidR="0046217D">
        <w:rPr>
          <w:rFonts w:ascii="Times New Roman" w:hAnsi="Times New Roman"/>
          <w:color w:val="262626"/>
          <w:szCs w:val="24"/>
        </w:rPr>
        <w:t xml:space="preserve"> la gorbenanza de la Serranía Celtibérica </w:t>
      </w:r>
      <w:r w:rsidR="00F1451C">
        <w:rPr>
          <w:rFonts w:ascii="Times New Roman" w:hAnsi="Times New Roman"/>
          <w:color w:val="262626"/>
          <w:szCs w:val="24"/>
        </w:rPr>
        <w:t>se apoye en tres pilares.</w:t>
      </w:r>
      <w:r w:rsidR="0046217D">
        <w:rPr>
          <w:rFonts w:ascii="Times New Roman" w:hAnsi="Times New Roman"/>
          <w:color w:val="262626"/>
          <w:szCs w:val="24"/>
        </w:rPr>
        <w:t xml:space="preserve"> Uno el formado por la administración y entidades políticas, por lo que se está pendiente </w:t>
      </w:r>
      <w:r w:rsidR="008C3B6D">
        <w:rPr>
          <w:rFonts w:ascii="Times New Roman" w:hAnsi="Times New Roman"/>
          <w:color w:val="262626"/>
          <w:szCs w:val="24"/>
        </w:rPr>
        <w:t>que el nuevo Gobierno de Aragón articule la fórmula de Consorcio o</w:t>
      </w:r>
      <w:r w:rsidR="0041599D">
        <w:rPr>
          <w:rFonts w:ascii="Times New Roman" w:hAnsi="Times New Roman"/>
          <w:color w:val="262626"/>
          <w:szCs w:val="24"/>
        </w:rPr>
        <w:t xml:space="preserve"> </w:t>
      </w:r>
      <w:r w:rsidR="00F1451C">
        <w:rPr>
          <w:rFonts w:ascii="Times New Roman" w:hAnsi="Times New Roman"/>
          <w:color w:val="262626"/>
          <w:szCs w:val="24"/>
        </w:rPr>
        <w:t xml:space="preserve">Fundación </w:t>
      </w:r>
      <w:r w:rsidR="008C3B6D">
        <w:rPr>
          <w:rFonts w:ascii="Times New Roman" w:hAnsi="Times New Roman"/>
          <w:color w:val="262626"/>
          <w:szCs w:val="24"/>
        </w:rPr>
        <w:t>para invitar a las otras cuatro Comunidades Autónomas y a las nueve Diputaciones Provinciales para su constitución</w:t>
      </w:r>
      <w:r w:rsidR="00F1451C">
        <w:rPr>
          <w:rFonts w:ascii="Times New Roman" w:hAnsi="Times New Roman"/>
          <w:color w:val="262626"/>
          <w:szCs w:val="24"/>
        </w:rPr>
        <w:t>. El segundo lo constituye la Asociación para el Desarrollo de la Serranía Celtibérica a la que se están sumando los grupos de acción local, asociaciones y entidades sociales y económicas</w:t>
      </w:r>
      <w:r w:rsidR="008C3B6D">
        <w:rPr>
          <w:rFonts w:ascii="Times New Roman" w:hAnsi="Times New Roman"/>
          <w:color w:val="262626"/>
          <w:szCs w:val="24"/>
        </w:rPr>
        <w:t xml:space="preserve"> de todo el territorio</w:t>
      </w:r>
      <w:r w:rsidR="00F1451C">
        <w:rPr>
          <w:rFonts w:ascii="Times New Roman" w:hAnsi="Times New Roman"/>
          <w:color w:val="262626"/>
          <w:szCs w:val="24"/>
        </w:rPr>
        <w:t>. Y el tercero lo configuran el Instituto de Investigación y Desarrollo Rural y la Red de Universidades de la Serranía Celtibérica</w:t>
      </w:r>
      <w:r w:rsidR="00E36276">
        <w:rPr>
          <w:rFonts w:ascii="Times New Roman" w:hAnsi="Times New Roman"/>
          <w:color w:val="262626"/>
          <w:szCs w:val="24"/>
        </w:rPr>
        <w:t>.</w:t>
      </w:r>
    </w:p>
    <w:p w14:paraId="45ECFDC0" w14:textId="77777777" w:rsidR="00531CCC" w:rsidRDefault="00531CCC" w:rsidP="00A64C95">
      <w:pPr>
        <w:tabs>
          <w:tab w:val="left" w:pos="963"/>
        </w:tabs>
        <w:jc w:val="both"/>
        <w:rPr>
          <w:rFonts w:ascii="Times New Roman" w:hAnsi="Times New Roman"/>
          <w:color w:val="262626"/>
          <w:szCs w:val="24"/>
        </w:rPr>
      </w:pPr>
    </w:p>
    <w:p w14:paraId="5FFB8920" w14:textId="31DFEA1F" w:rsidR="00531CCC" w:rsidRPr="00C848DC" w:rsidRDefault="00531CCC" w:rsidP="00A64C95">
      <w:pPr>
        <w:tabs>
          <w:tab w:val="left" w:pos="963"/>
        </w:tabs>
        <w:jc w:val="both"/>
        <w:rPr>
          <w:rFonts w:ascii="Times New Roman" w:hAnsi="Times New Roman"/>
          <w:b/>
          <w:color w:val="262626"/>
          <w:szCs w:val="24"/>
        </w:rPr>
      </w:pPr>
      <w:r w:rsidRPr="00531CCC">
        <w:rPr>
          <w:rFonts w:ascii="Times New Roman" w:hAnsi="Times New Roman"/>
          <w:b/>
          <w:color w:val="262626"/>
          <w:szCs w:val="24"/>
        </w:rPr>
        <w:t>Urgencia</w:t>
      </w:r>
      <w:r w:rsidR="00E212EB">
        <w:rPr>
          <w:rFonts w:ascii="Times New Roman" w:hAnsi="Times New Roman"/>
          <w:b/>
          <w:color w:val="262626"/>
          <w:szCs w:val="24"/>
        </w:rPr>
        <w:t xml:space="preserve"> de la toma de acuerdos de las c</w:t>
      </w:r>
      <w:r w:rsidRPr="00531CCC">
        <w:rPr>
          <w:rFonts w:ascii="Times New Roman" w:hAnsi="Times New Roman"/>
          <w:b/>
          <w:color w:val="262626"/>
          <w:szCs w:val="24"/>
        </w:rPr>
        <w:t>inco Comunidades Autónomas.</w:t>
      </w:r>
    </w:p>
    <w:p w14:paraId="7D262B6A" w14:textId="304E6B65" w:rsidR="00D04658" w:rsidRPr="00E212EB" w:rsidRDefault="00E212EB" w:rsidP="00D04658">
      <w:pPr>
        <w:tabs>
          <w:tab w:val="left" w:pos="963"/>
        </w:tabs>
        <w:jc w:val="both"/>
        <w:rPr>
          <w:rFonts w:ascii="Times New Roman" w:hAnsi="Times New Roman"/>
          <w:szCs w:val="24"/>
        </w:rPr>
      </w:pPr>
      <w:r>
        <w:rPr>
          <w:color w:val="262626"/>
        </w:rPr>
        <w:t>Las cinco Comunidades A</w:t>
      </w:r>
      <w:r w:rsidR="00C77280">
        <w:rPr>
          <w:color w:val="262626"/>
        </w:rPr>
        <w:t>utónomas deben impulsar</w:t>
      </w:r>
      <w:r>
        <w:rPr>
          <w:color w:val="262626"/>
        </w:rPr>
        <w:t xml:space="preserve"> con la máxima urgencia las tres medidas</w:t>
      </w:r>
      <w:r w:rsidR="00C77280">
        <w:rPr>
          <w:color w:val="262626"/>
        </w:rPr>
        <w:t xml:space="preserve"> </w:t>
      </w:r>
      <w:r>
        <w:rPr>
          <w:rFonts w:ascii="Times New Roman" w:hAnsi="Times New Roman"/>
          <w:szCs w:val="24"/>
        </w:rPr>
        <w:t>que hacen referencia a la Serranía Celtibérica,</w:t>
      </w:r>
      <w:r>
        <w:rPr>
          <w:color w:val="262626"/>
        </w:rPr>
        <w:t xml:space="preserve"> aprobadas</w:t>
      </w:r>
      <w:r w:rsidR="008F5389">
        <w:rPr>
          <w:color w:val="262626"/>
        </w:rPr>
        <w:t xml:space="preserve"> por unanimidad por el pleno del Senado</w:t>
      </w:r>
      <w:r w:rsidR="00C77280">
        <w:rPr>
          <w:color w:val="262626"/>
        </w:rPr>
        <w:t xml:space="preserve"> </w:t>
      </w:r>
      <w:r w:rsidR="00D04658">
        <w:rPr>
          <w:rFonts w:ascii="Times New Roman" w:hAnsi="Times New Roman"/>
          <w:szCs w:val="24"/>
        </w:rPr>
        <w:t xml:space="preserve">el </w:t>
      </w:r>
      <w:r w:rsidR="008F5389">
        <w:rPr>
          <w:rFonts w:ascii="Times New Roman" w:hAnsi="Times New Roman"/>
          <w:szCs w:val="24"/>
        </w:rPr>
        <w:t>pasado 10 de junio</w:t>
      </w:r>
      <w:r>
        <w:rPr>
          <w:rFonts w:ascii="Times New Roman" w:hAnsi="Times New Roman"/>
          <w:szCs w:val="24"/>
        </w:rPr>
        <w:t xml:space="preserve">, y presentadas por </w:t>
      </w:r>
      <w:r w:rsidR="00D04658" w:rsidRPr="00E212EB">
        <w:rPr>
          <w:rFonts w:ascii="Times New Roman" w:hAnsi="Times New Roman"/>
          <w:szCs w:val="24"/>
        </w:rPr>
        <w:t>La Comisión de Entidades Locales del Senado en el “Informe de la Ponencia de estudio para la adopción de medidas en relación con la Despoblación Rural en España</w:t>
      </w:r>
      <w:r w:rsidR="00C848DC">
        <w:rPr>
          <w:rFonts w:ascii="Times New Roman" w:hAnsi="Times New Roman"/>
          <w:szCs w:val="24"/>
        </w:rPr>
        <w:t>”. Estas medidas son:</w:t>
      </w:r>
    </w:p>
    <w:p w14:paraId="3C5C8C5A" w14:textId="77777777" w:rsidR="00D04658" w:rsidRPr="00E212EB" w:rsidRDefault="00D04658" w:rsidP="00D04658">
      <w:pPr>
        <w:tabs>
          <w:tab w:val="left" w:pos="1134"/>
        </w:tabs>
        <w:ind w:left="1276" w:hanging="425"/>
        <w:jc w:val="both"/>
        <w:rPr>
          <w:rFonts w:ascii="Times New Roman" w:hAnsi="Times New Roman"/>
          <w:i/>
          <w:szCs w:val="24"/>
        </w:rPr>
      </w:pPr>
      <w:r w:rsidRPr="00E212EB">
        <w:rPr>
          <w:rFonts w:ascii="Times New Roman" w:hAnsi="Times New Roman"/>
          <w:i/>
          <w:szCs w:val="24"/>
        </w:rPr>
        <w:t xml:space="preserve">a) Adopción de medidas para que la </w:t>
      </w:r>
      <w:r w:rsidRPr="00E212EB">
        <w:rPr>
          <w:rFonts w:ascii="Times New Roman" w:hAnsi="Times New Roman"/>
          <w:i/>
          <w:szCs w:val="24"/>
          <w:u w:val="single"/>
        </w:rPr>
        <w:t>cultura celtibérica</w:t>
      </w:r>
      <w:r w:rsidRPr="00E212EB">
        <w:rPr>
          <w:rFonts w:ascii="Times New Roman" w:hAnsi="Times New Roman"/>
          <w:i/>
          <w:szCs w:val="24"/>
        </w:rPr>
        <w:t xml:space="preserve"> sea declarada y reconocida como </w:t>
      </w:r>
      <w:r w:rsidRPr="00E212EB">
        <w:rPr>
          <w:rFonts w:ascii="Times New Roman" w:hAnsi="Times New Roman"/>
          <w:i/>
          <w:szCs w:val="24"/>
          <w:u w:val="single"/>
        </w:rPr>
        <w:t>Patrimonio de la Humanidad</w:t>
      </w:r>
      <w:r w:rsidRPr="00E212EB">
        <w:rPr>
          <w:rFonts w:ascii="Times New Roman" w:hAnsi="Times New Roman"/>
          <w:i/>
          <w:szCs w:val="24"/>
        </w:rPr>
        <w:t xml:space="preserve">. </w:t>
      </w:r>
    </w:p>
    <w:p w14:paraId="45812280" w14:textId="77777777" w:rsidR="00D04658" w:rsidRPr="00E212EB" w:rsidRDefault="00D04658" w:rsidP="00D04658">
      <w:pPr>
        <w:tabs>
          <w:tab w:val="left" w:pos="1134"/>
        </w:tabs>
        <w:ind w:left="1276" w:hanging="425"/>
        <w:jc w:val="both"/>
        <w:rPr>
          <w:rFonts w:ascii="Times New Roman" w:hAnsi="Times New Roman"/>
          <w:i/>
          <w:szCs w:val="24"/>
        </w:rPr>
      </w:pPr>
      <w:r w:rsidRPr="00E212EB">
        <w:rPr>
          <w:rFonts w:ascii="Times New Roman" w:hAnsi="Times New Roman"/>
          <w:i/>
          <w:szCs w:val="24"/>
        </w:rPr>
        <w:t xml:space="preserve">b) </w:t>
      </w:r>
      <w:r w:rsidRPr="00E212EB">
        <w:rPr>
          <w:rFonts w:ascii="Times New Roman" w:hAnsi="Times New Roman"/>
          <w:i/>
          <w:szCs w:val="24"/>
          <w:u w:val="single"/>
        </w:rPr>
        <w:t>Creación</w:t>
      </w:r>
      <w:r w:rsidRPr="00E212EB">
        <w:rPr>
          <w:rFonts w:ascii="Times New Roman" w:hAnsi="Times New Roman"/>
          <w:i/>
          <w:szCs w:val="24"/>
        </w:rPr>
        <w:t xml:space="preserve"> en </w:t>
      </w:r>
      <w:r w:rsidRPr="00E212EB">
        <w:rPr>
          <w:rFonts w:ascii="Times New Roman" w:hAnsi="Times New Roman"/>
          <w:i/>
          <w:szCs w:val="24"/>
          <w:u w:val="single"/>
        </w:rPr>
        <w:t xml:space="preserve">Teruel de un Instituto de Investigación de Desarrollo Rural </w:t>
      </w:r>
      <w:r w:rsidRPr="00E212EB">
        <w:rPr>
          <w:rFonts w:ascii="Times New Roman" w:hAnsi="Times New Roman"/>
          <w:i/>
          <w:noProof w:val="0"/>
          <w:szCs w:val="24"/>
          <w:lang w:val="es-ES"/>
        </w:rPr>
        <w:t>«</w:t>
      </w:r>
      <w:r w:rsidRPr="00E212EB">
        <w:rPr>
          <w:rFonts w:ascii="Times New Roman" w:hAnsi="Times New Roman"/>
          <w:i/>
          <w:szCs w:val="24"/>
          <w:u w:val="single"/>
        </w:rPr>
        <w:t>Serranía Celtibérica</w:t>
      </w:r>
      <w:r w:rsidRPr="00E212EB">
        <w:rPr>
          <w:rFonts w:ascii="Times New Roman" w:hAnsi="Times New Roman"/>
          <w:i/>
          <w:szCs w:val="24"/>
        </w:rPr>
        <w:t>.</w:t>
      </w:r>
    </w:p>
    <w:p w14:paraId="06155F1F" w14:textId="77777777" w:rsidR="00D04658" w:rsidRDefault="00D04658" w:rsidP="00D04658">
      <w:pPr>
        <w:tabs>
          <w:tab w:val="left" w:pos="1134"/>
        </w:tabs>
        <w:ind w:left="1276" w:hanging="425"/>
        <w:jc w:val="both"/>
        <w:rPr>
          <w:rFonts w:ascii="Times New Roman" w:hAnsi="Times New Roman"/>
          <w:b/>
          <w:i/>
          <w:szCs w:val="24"/>
        </w:rPr>
      </w:pPr>
      <w:r w:rsidRPr="00E212EB">
        <w:rPr>
          <w:rFonts w:ascii="Times New Roman" w:hAnsi="Times New Roman"/>
          <w:i/>
          <w:szCs w:val="24"/>
        </w:rPr>
        <w:t xml:space="preserve">c) </w:t>
      </w:r>
      <w:r w:rsidRPr="00E212EB">
        <w:rPr>
          <w:rFonts w:ascii="Times New Roman" w:hAnsi="Times New Roman"/>
          <w:i/>
          <w:szCs w:val="24"/>
          <w:u w:val="single"/>
        </w:rPr>
        <w:t>Considerar</w:t>
      </w:r>
      <w:r w:rsidRPr="00E212EB">
        <w:rPr>
          <w:rFonts w:ascii="Times New Roman" w:hAnsi="Times New Roman"/>
          <w:i/>
          <w:szCs w:val="24"/>
        </w:rPr>
        <w:t xml:space="preserve">, como </w:t>
      </w:r>
      <w:r w:rsidRPr="00E212EB">
        <w:rPr>
          <w:rFonts w:ascii="Times New Roman" w:hAnsi="Times New Roman"/>
          <w:i/>
          <w:szCs w:val="24"/>
          <w:u w:val="single"/>
        </w:rPr>
        <w:t xml:space="preserve">sistema territorial integrado la </w:t>
      </w:r>
      <w:r w:rsidRPr="00E212EB">
        <w:rPr>
          <w:rFonts w:ascii="Times New Roman" w:hAnsi="Times New Roman"/>
          <w:i/>
          <w:noProof w:val="0"/>
          <w:szCs w:val="24"/>
          <w:lang w:val="es-ES"/>
        </w:rPr>
        <w:t>«</w:t>
      </w:r>
      <w:r w:rsidRPr="00E212EB">
        <w:rPr>
          <w:rFonts w:ascii="Times New Roman" w:hAnsi="Times New Roman"/>
          <w:i/>
          <w:szCs w:val="24"/>
          <w:u w:val="single"/>
        </w:rPr>
        <w:t>Serranía Celtibérica</w:t>
      </w:r>
      <w:r w:rsidRPr="00E212EB">
        <w:rPr>
          <w:rFonts w:ascii="Times New Roman" w:hAnsi="Times New Roman"/>
          <w:i/>
          <w:noProof w:val="0"/>
          <w:szCs w:val="24"/>
          <w:lang w:val="es-ES"/>
        </w:rPr>
        <w:t>»</w:t>
      </w:r>
      <w:r w:rsidRPr="00E212EB">
        <w:rPr>
          <w:rFonts w:ascii="Times New Roman" w:hAnsi="Times New Roman"/>
          <w:i/>
          <w:szCs w:val="24"/>
        </w:rPr>
        <w:t>.</w:t>
      </w:r>
    </w:p>
    <w:p w14:paraId="2F195D46" w14:textId="35916115" w:rsidR="00C77280" w:rsidRDefault="00C77280" w:rsidP="00A64C95">
      <w:pPr>
        <w:tabs>
          <w:tab w:val="left" w:pos="963"/>
        </w:tabs>
        <w:jc w:val="both"/>
        <w:rPr>
          <w:color w:val="262626"/>
        </w:rPr>
      </w:pPr>
    </w:p>
    <w:p w14:paraId="238AC693" w14:textId="3035EAD3" w:rsidR="00057698" w:rsidRPr="005E21A7" w:rsidRDefault="00057698" w:rsidP="00A64C95">
      <w:pPr>
        <w:tabs>
          <w:tab w:val="left" w:pos="963"/>
        </w:tabs>
        <w:jc w:val="both"/>
        <w:rPr>
          <w:rFonts w:ascii="Times New Roman" w:hAnsi="Times New Roman"/>
          <w:color w:val="262626"/>
          <w:szCs w:val="24"/>
        </w:rPr>
      </w:pPr>
      <w:r>
        <w:rPr>
          <w:rFonts w:ascii="Times New Roman" w:hAnsi="Times New Roman"/>
          <w:color w:val="262626"/>
          <w:szCs w:val="24"/>
        </w:rPr>
        <w:tab/>
        <w:t xml:space="preserve">En lo que a la Inversión Territorial Integrada se refiere, no debe olvidarse que </w:t>
      </w:r>
      <w:r>
        <w:rPr>
          <w:rFonts w:ascii="Times New Roman" w:hAnsi="Times New Roman"/>
          <w:szCs w:val="24"/>
        </w:rPr>
        <w:t>e</w:t>
      </w:r>
      <w:r w:rsidRPr="0009346A">
        <w:rPr>
          <w:rFonts w:ascii="Times New Roman" w:hAnsi="Times New Roman"/>
          <w:szCs w:val="24"/>
        </w:rPr>
        <w:t xml:space="preserve">l pleno de la Diputación de Jaén del 5 de mayo de 2015 aprobó por unanimidad </w:t>
      </w:r>
      <w:r w:rsidRPr="0009346A">
        <w:rPr>
          <w:szCs w:val="24"/>
        </w:rPr>
        <w:t>solicitar al Gobierno central la quinta Inversión Territorial Integrada (ITI)</w:t>
      </w:r>
      <w:r>
        <w:rPr>
          <w:szCs w:val="24"/>
        </w:rPr>
        <w:t xml:space="preserve"> por valor de </w:t>
      </w:r>
      <w:r>
        <w:rPr>
          <w:szCs w:val="24"/>
        </w:rPr>
        <w:lastRenderedPageBreak/>
        <w:t>1.200 millones de euros,</w:t>
      </w:r>
      <w:r w:rsidRPr="006B08F7">
        <w:rPr>
          <w:szCs w:val="24"/>
        </w:rPr>
        <w:t xml:space="preserve"> </w:t>
      </w:r>
      <w:r>
        <w:rPr>
          <w:rFonts w:ascii="Times New Roman" w:hAnsi="Times New Roman"/>
          <w:color w:val="262626"/>
          <w:szCs w:val="24"/>
        </w:rPr>
        <w:t>argumentando</w:t>
      </w:r>
      <w:r w:rsidRPr="006B08F7">
        <w:rPr>
          <w:szCs w:val="24"/>
        </w:rPr>
        <w:t xml:space="preserve"> la "</w:t>
      </w:r>
      <w:r w:rsidRPr="0040236C">
        <w:rPr>
          <w:i/>
          <w:szCs w:val="24"/>
        </w:rPr>
        <w:t>necesidad de un plan de reindustrialización, la mejora de las comunicaciones, el apoyo al turismo, la ganadería y afrontar diversos problemas estructurales que esta inversión podría solucionar</w:t>
      </w:r>
      <w:r w:rsidRPr="006B08F7">
        <w:rPr>
          <w:szCs w:val="24"/>
        </w:rPr>
        <w:t xml:space="preserve">". </w:t>
      </w:r>
      <w:r>
        <w:rPr>
          <w:szCs w:val="24"/>
        </w:rPr>
        <w:t xml:space="preserve">Debe señalarse que la decisión depende del ministro de Hacienda y Administraciones Públicas, Cristobal Montoro Romero, natural de Cambil (Jaén), municipio que en 1950 tenía 7.634 habitantes y en el 2014 ha descendido a 2.861 </w:t>
      </w:r>
    </w:p>
    <w:p w14:paraId="785C37F1" w14:textId="01FB2B93" w:rsidR="00E212EB" w:rsidRDefault="00E212EB" w:rsidP="00A64C95">
      <w:pPr>
        <w:tabs>
          <w:tab w:val="left" w:pos="963"/>
        </w:tabs>
        <w:jc w:val="both"/>
        <w:rPr>
          <w:rFonts w:ascii="Times New Roman" w:hAnsi="Times New Roman"/>
          <w:color w:val="262626"/>
          <w:szCs w:val="24"/>
        </w:rPr>
      </w:pPr>
      <w:r>
        <w:rPr>
          <w:color w:val="262626"/>
        </w:rPr>
        <w:tab/>
      </w:r>
      <w:r w:rsidR="00C848DC">
        <w:rPr>
          <w:color w:val="262626"/>
        </w:rPr>
        <w:t>Respecto</w:t>
      </w:r>
      <w:r>
        <w:rPr>
          <w:color w:val="262626"/>
        </w:rPr>
        <w:t xml:space="preserve"> al Instituto de Investigación </w:t>
      </w:r>
      <w:r>
        <w:rPr>
          <w:rFonts w:ascii="Times New Roman" w:hAnsi="Times New Roman"/>
          <w:color w:val="262626"/>
          <w:szCs w:val="24"/>
        </w:rPr>
        <w:t>la Comisión de Política Territorial e Interior del Gobierno de Aragón acordó por unanimidad de todos los partidos pol</w:t>
      </w:r>
      <w:r w:rsidR="008C3B6D">
        <w:rPr>
          <w:rFonts w:ascii="Times New Roman" w:hAnsi="Times New Roman"/>
          <w:color w:val="262626"/>
          <w:szCs w:val="24"/>
        </w:rPr>
        <w:t xml:space="preserve">íticos el 4 de marzo del 2015, </w:t>
      </w:r>
      <w:r>
        <w:rPr>
          <w:rFonts w:ascii="Times New Roman" w:hAnsi="Times New Roman"/>
          <w:color w:val="262626"/>
          <w:szCs w:val="24"/>
        </w:rPr>
        <w:t>a propuesta de la CHA, la firma “a la mayor brevedad posible” de un convenio de colaboración con el Instituto de la Serranía Celtibérica para seguir desarrollando la transferencia de I+D+i a dicho proyecto.</w:t>
      </w:r>
    </w:p>
    <w:p w14:paraId="2727917C" w14:textId="1BC34BB8" w:rsidR="00C848DC" w:rsidRPr="00C848DC" w:rsidRDefault="00E212EB" w:rsidP="00A64C95">
      <w:pPr>
        <w:tabs>
          <w:tab w:val="left" w:pos="963"/>
        </w:tabs>
        <w:jc w:val="both"/>
        <w:rPr>
          <w:rFonts w:ascii="Times New Roman" w:hAnsi="Times New Roman"/>
          <w:color w:val="262626"/>
          <w:szCs w:val="24"/>
        </w:rPr>
      </w:pPr>
      <w:r>
        <w:rPr>
          <w:rFonts w:ascii="Times New Roman" w:hAnsi="Times New Roman"/>
          <w:color w:val="262626"/>
          <w:szCs w:val="24"/>
        </w:rPr>
        <w:tab/>
      </w:r>
      <w:r w:rsidR="001A2969">
        <w:rPr>
          <w:szCs w:val="24"/>
        </w:rPr>
        <w:t xml:space="preserve"> </w:t>
      </w:r>
    </w:p>
    <w:p w14:paraId="5A471E06" w14:textId="18948B4F" w:rsidR="00FF2ACC" w:rsidRPr="00127EC9" w:rsidRDefault="001D17D8" w:rsidP="00A64C95">
      <w:pPr>
        <w:tabs>
          <w:tab w:val="left" w:pos="963"/>
        </w:tabs>
        <w:jc w:val="both"/>
        <w:rPr>
          <w:rFonts w:ascii="Times New Roman" w:hAnsi="Times New Roman"/>
          <w:b/>
          <w:szCs w:val="24"/>
        </w:rPr>
      </w:pPr>
      <w:r w:rsidRPr="00127EC9">
        <w:rPr>
          <w:rFonts w:ascii="Times New Roman" w:hAnsi="Times New Roman"/>
          <w:b/>
          <w:szCs w:val="24"/>
        </w:rPr>
        <w:t xml:space="preserve">Relación de </w:t>
      </w:r>
      <w:r w:rsidR="00E03F23" w:rsidRPr="00127EC9">
        <w:rPr>
          <w:rFonts w:ascii="Times New Roman" w:hAnsi="Times New Roman"/>
          <w:b/>
          <w:szCs w:val="24"/>
        </w:rPr>
        <w:t xml:space="preserve">rectores </w:t>
      </w:r>
      <w:r w:rsidRPr="00127EC9">
        <w:rPr>
          <w:rFonts w:ascii="Times New Roman" w:hAnsi="Times New Roman"/>
          <w:b/>
          <w:szCs w:val="24"/>
        </w:rPr>
        <w:t>y</w:t>
      </w:r>
      <w:r w:rsidR="00E03F23" w:rsidRPr="00127EC9">
        <w:rPr>
          <w:rFonts w:ascii="Times New Roman" w:hAnsi="Times New Roman"/>
          <w:b/>
          <w:szCs w:val="24"/>
        </w:rPr>
        <w:t xml:space="preserve"> Universidades con sedes en el territorio de la Serranía Celtibérica: </w:t>
      </w:r>
    </w:p>
    <w:p w14:paraId="276E97F8" w14:textId="57AE9003" w:rsidR="001D17D8" w:rsidRPr="001D17D8" w:rsidRDefault="00A659EB" w:rsidP="00A64C95">
      <w:pPr>
        <w:tabs>
          <w:tab w:val="left" w:pos="963"/>
        </w:tabs>
        <w:jc w:val="both"/>
        <w:rPr>
          <w:rFonts w:ascii="Times New Roman" w:hAnsi="Times New Roman"/>
          <w:szCs w:val="24"/>
        </w:rPr>
      </w:pPr>
      <w:r>
        <w:rPr>
          <w:rFonts w:ascii="Times New Roman" w:hAnsi="Times New Roman"/>
          <w:szCs w:val="24"/>
        </w:rPr>
        <w:t xml:space="preserve">1) </w:t>
      </w:r>
      <w:r w:rsidR="001D17D8" w:rsidRPr="001D17D8">
        <w:rPr>
          <w:rFonts w:ascii="Times New Roman" w:hAnsi="Times New Roman"/>
          <w:szCs w:val="24"/>
        </w:rPr>
        <w:t>Fernando Galván Reula, Rector de la Universidad de Alcalá, de quien depende el campus de Guadalajara.</w:t>
      </w:r>
    </w:p>
    <w:p w14:paraId="2B5CDCAC" w14:textId="5ED7B222" w:rsidR="001D17D8" w:rsidRDefault="00A659EB" w:rsidP="00A64C95">
      <w:pPr>
        <w:tabs>
          <w:tab w:val="left" w:pos="963"/>
        </w:tabs>
        <w:jc w:val="both"/>
        <w:rPr>
          <w:rFonts w:ascii="Times New Roman" w:hAnsi="Times New Roman"/>
          <w:szCs w:val="24"/>
        </w:rPr>
      </w:pPr>
      <w:r>
        <w:rPr>
          <w:rFonts w:ascii="Times New Roman" w:hAnsi="Times New Roman"/>
          <w:szCs w:val="24"/>
        </w:rPr>
        <w:t xml:space="preserve">2) </w:t>
      </w:r>
      <w:r w:rsidR="001D17D8" w:rsidRPr="001D17D8">
        <w:rPr>
          <w:rFonts w:ascii="Times New Roman" w:hAnsi="Times New Roman"/>
          <w:szCs w:val="24"/>
        </w:rPr>
        <w:t>Alfonso Murillo Villar, Rector de la Universidad de Burgos.</w:t>
      </w:r>
    </w:p>
    <w:p w14:paraId="574202AE" w14:textId="13D9A389" w:rsidR="003F77C5" w:rsidRDefault="00A659EB" w:rsidP="00A64C95">
      <w:pPr>
        <w:tabs>
          <w:tab w:val="left" w:pos="963"/>
        </w:tabs>
        <w:jc w:val="both"/>
        <w:rPr>
          <w:rFonts w:ascii="Times New Roman" w:hAnsi="Times New Roman"/>
          <w:szCs w:val="24"/>
        </w:rPr>
      </w:pPr>
      <w:r>
        <w:rPr>
          <w:rFonts w:ascii="Times New Roman" w:hAnsi="Times New Roman"/>
          <w:szCs w:val="24"/>
        </w:rPr>
        <w:t xml:space="preserve">3) </w:t>
      </w:r>
      <w:r w:rsidR="003F77C5" w:rsidRPr="001D17D8">
        <w:rPr>
          <w:rFonts w:ascii="Times New Roman" w:hAnsi="Times New Roman"/>
          <w:szCs w:val="24"/>
        </w:rPr>
        <w:t>Miguel Ángel Collado Yurrita, Rector de la Universidad de Castilla – La Mancha, con una de sus sedes en Cuenca</w:t>
      </w:r>
      <w:r w:rsidR="003F77C5">
        <w:rPr>
          <w:rFonts w:ascii="Times New Roman" w:hAnsi="Times New Roman"/>
          <w:szCs w:val="24"/>
        </w:rPr>
        <w:t>.</w:t>
      </w:r>
    </w:p>
    <w:p w14:paraId="1DF56443" w14:textId="2306FBDE" w:rsidR="003F77C5" w:rsidRPr="001D17D8" w:rsidRDefault="00A659EB" w:rsidP="00A64C95">
      <w:pPr>
        <w:tabs>
          <w:tab w:val="left" w:pos="963"/>
        </w:tabs>
        <w:jc w:val="both"/>
        <w:rPr>
          <w:rFonts w:ascii="Times New Roman" w:hAnsi="Times New Roman"/>
          <w:szCs w:val="24"/>
          <w:lang w:val="ca-ES"/>
        </w:rPr>
      </w:pPr>
      <w:r>
        <w:rPr>
          <w:rFonts w:ascii="Times New Roman" w:hAnsi="Times New Roman"/>
          <w:szCs w:val="24"/>
          <w:lang w:val="ca-ES"/>
        </w:rPr>
        <w:t xml:space="preserve">4) </w:t>
      </w:r>
      <w:r w:rsidR="003F77C5" w:rsidRPr="001D17D8">
        <w:rPr>
          <w:rFonts w:ascii="Times New Roman" w:hAnsi="Times New Roman"/>
          <w:szCs w:val="24"/>
          <w:lang w:val="ca-ES"/>
        </w:rPr>
        <w:t xml:space="preserve">Vicent Climent Jordà, Rector de la </w:t>
      </w:r>
      <w:r w:rsidR="003F77C5" w:rsidRPr="001D17D8">
        <w:rPr>
          <w:rFonts w:ascii="Times New Roman" w:hAnsi="Times New Roman"/>
          <w:szCs w:val="24"/>
        </w:rPr>
        <w:t>Universitat</w:t>
      </w:r>
      <w:r w:rsidR="003F77C5" w:rsidRPr="001D17D8">
        <w:rPr>
          <w:rFonts w:ascii="Times New Roman" w:hAnsi="Times New Roman"/>
          <w:szCs w:val="24"/>
          <w:lang w:val="ca-ES"/>
        </w:rPr>
        <w:t xml:space="preserve"> Jaume I de Castellón.</w:t>
      </w:r>
    </w:p>
    <w:p w14:paraId="553E63FB" w14:textId="5DF92733" w:rsidR="003F77C5" w:rsidRPr="001D17D8" w:rsidRDefault="00A659EB" w:rsidP="00A64C95">
      <w:pPr>
        <w:tabs>
          <w:tab w:val="left" w:pos="963"/>
        </w:tabs>
        <w:jc w:val="both"/>
        <w:rPr>
          <w:rFonts w:ascii="Times New Roman" w:hAnsi="Times New Roman"/>
          <w:szCs w:val="24"/>
        </w:rPr>
      </w:pPr>
      <w:r>
        <w:rPr>
          <w:rFonts w:ascii="Times New Roman" w:hAnsi="Times New Roman"/>
          <w:szCs w:val="24"/>
        </w:rPr>
        <w:t xml:space="preserve">5) </w:t>
      </w:r>
      <w:r w:rsidR="003F77C5" w:rsidRPr="001D17D8">
        <w:rPr>
          <w:rFonts w:ascii="Times New Roman" w:hAnsi="Times New Roman"/>
          <w:szCs w:val="24"/>
        </w:rPr>
        <w:t>Francisco José Mora Mas, Rector de la Universitat Politècnica de València.</w:t>
      </w:r>
    </w:p>
    <w:p w14:paraId="76DCC0ED" w14:textId="15484F6E" w:rsidR="009268EF" w:rsidRPr="001D17D8" w:rsidRDefault="00614F7C" w:rsidP="00A64C95">
      <w:pPr>
        <w:tabs>
          <w:tab w:val="left" w:pos="963"/>
        </w:tabs>
        <w:jc w:val="both"/>
        <w:rPr>
          <w:rFonts w:ascii="Times New Roman" w:hAnsi="Times New Roman"/>
          <w:szCs w:val="24"/>
        </w:rPr>
      </w:pPr>
      <w:r>
        <w:rPr>
          <w:rFonts w:ascii="Times New Roman" w:hAnsi="Times New Roman"/>
          <w:szCs w:val="24"/>
        </w:rPr>
        <w:t xml:space="preserve">6) </w:t>
      </w:r>
      <w:r w:rsidR="009268EF" w:rsidRPr="001D17D8">
        <w:rPr>
          <w:rFonts w:ascii="Times New Roman" w:hAnsi="Times New Roman"/>
          <w:szCs w:val="24"/>
        </w:rPr>
        <w:t>José Arnáez Vadillo, Rector Magnífico de la Universidad de la Rioja.</w:t>
      </w:r>
    </w:p>
    <w:p w14:paraId="218033A1" w14:textId="121BF732" w:rsidR="003F77C5" w:rsidRPr="009268EF" w:rsidRDefault="00614F7C" w:rsidP="00A64C95">
      <w:pPr>
        <w:tabs>
          <w:tab w:val="left" w:pos="963"/>
        </w:tabs>
        <w:jc w:val="both"/>
        <w:rPr>
          <w:rFonts w:ascii="Times New Roman" w:hAnsi="Times New Roman"/>
          <w:szCs w:val="24"/>
        </w:rPr>
      </w:pPr>
      <w:r>
        <w:rPr>
          <w:rFonts w:ascii="Times New Roman" w:hAnsi="Times New Roman"/>
          <w:szCs w:val="24"/>
        </w:rPr>
        <w:t xml:space="preserve">7) </w:t>
      </w:r>
      <w:r w:rsidR="009268EF" w:rsidRPr="001D17D8">
        <w:rPr>
          <w:rFonts w:ascii="Times New Roman" w:hAnsi="Times New Roman"/>
          <w:szCs w:val="24"/>
        </w:rPr>
        <w:t xml:space="preserve">Alejandro Tiana Ferrer, Rector de la Universidad de Nacional de Educación a Distancia, con centros asociados en Calatayud, Cuenca, Guadalajara, Molina de Aragón, Huete, Soria, Sigüenza y Teruel. </w:t>
      </w:r>
    </w:p>
    <w:p w14:paraId="2A2B16F0" w14:textId="55E6F089" w:rsidR="001D17D8" w:rsidRPr="003F77C5" w:rsidRDefault="00614F7C" w:rsidP="00A64C95">
      <w:pPr>
        <w:tabs>
          <w:tab w:val="left" w:pos="963"/>
        </w:tabs>
        <w:jc w:val="both"/>
        <w:rPr>
          <w:rFonts w:ascii="Times New Roman" w:hAnsi="Times New Roman"/>
          <w:iCs/>
          <w:szCs w:val="24"/>
        </w:rPr>
      </w:pPr>
      <w:r>
        <w:rPr>
          <w:rFonts w:ascii="Times New Roman" w:hAnsi="Times New Roman"/>
          <w:bCs/>
          <w:iCs/>
          <w:szCs w:val="24"/>
        </w:rPr>
        <w:t xml:space="preserve">8) </w:t>
      </w:r>
      <w:r w:rsidR="003F77C5" w:rsidRPr="001D17D8">
        <w:rPr>
          <w:rFonts w:ascii="Times New Roman" w:hAnsi="Times New Roman"/>
          <w:bCs/>
          <w:iCs/>
          <w:szCs w:val="24"/>
        </w:rPr>
        <w:t>Esteban Morcillo Sánchez</w:t>
      </w:r>
      <w:r w:rsidR="003F77C5" w:rsidRPr="001D17D8">
        <w:rPr>
          <w:rFonts w:ascii="Times New Roman" w:hAnsi="Times New Roman"/>
          <w:iCs/>
          <w:szCs w:val="24"/>
        </w:rPr>
        <w:t>, Universitat de València.</w:t>
      </w:r>
    </w:p>
    <w:p w14:paraId="13FB36B6" w14:textId="17A69A87" w:rsidR="001D17D8" w:rsidRDefault="00614F7C" w:rsidP="00A64C95">
      <w:pPr>
        <w:tabs>
          <w:tab w:val="left" w:pos="963"/>
        </w:tabs>
        <w:jc w:val="both"/>
        <w:rPr>
          <w:rFonts w:ascii="Times New Roman" w:hAnsi="Times New Roman"/>
          <w:szCs w:val="24"/>
        </w:rPr>
      </w:pPr>
      <w:r>
        <w:rPr>
          <w:rFonts w:ascii="Times New Roman" w:hAnsi="Times New Roman"/>
          <w:szCs w:val="24"/>
        </w:rPr>
        <w:t xml:space="preserve">9) </w:t>
      </w:r>
      <w:r w:rsidR="001D17D8" w:rsidRPr="001D17D8">
        <w:rPr>
          <w:rFonts w:ascii="Times New Roman" w:hAnsi="Times New Roman"/>
          <w:szCs w:val="24"/>
        </w:rPr>
        <w:t>Daniel Miguel San José, Rector de la Universidad de Valladolid, de quien depende el campus de Soria.</w:t>
      </w:r>
    </w:p>
    <w:p w14:paraId="49CD43A3" w14:textId="6D82EFF4" w:rsidR="00E03F23" w:rsidRPr="001D17D8" w:rsidRDefault="00614F7C" w:rsidP="00A64C95">
      <w:pPr>
        <w:tabs>
          <w:tab w:val="left" w:pos="963"/>
        </w:tabs>
        <w:jc w:val="both"/>
        <w:rPr>
          <w:rFonts w:ascii="Times New Roman" w:hAnsi="Times New Roman"/>
          <w:szCs w:val="24"/>
        </w:rPr>
      </w:pPr>
      <w:r>
        <w:rPr>
          <w:rFonts w:ascii="Times New Roman" w:hAnsi="Times New Roman"/>
          <w:szCs w:val="24"/>
        </w:rPr>
        <w:t xml:space="preserve">10) </w:t>
      </w:r>
      <w:r w:rsidR="00E03F23" w:rsidRPr="001D17D8">
        <w:rPr>
          <w:rFonts w:ascii="Times New Roman" w:hAnsi="Times New Roman"/>
          <w:szCs w:val="24"/>
        </w:rPr>
        <w:t>Manuel José López Pérez, Rector de la Universidad de Zaragoza</w:t>
      </w:r>
    </w:p>
    <w:p w14:paraId="4E3AF6DD" w14:textId="65F3DBBE" w:rsidR="00E32AD7" w:rsidRPr="001D17D8" w:rsidRDefault="00E32AD7" w:rsidP="00A64C95">
      <w:pPr>
        <w:tabs>
          <w:tab w:val="left" w:pos="963"/>
        </w:tabs>
        <w:jc w:val="both"/>
        <w:rPr>
          <w:rFonts w:ascii="Times New Roman" w:hAnsi="Times New Roman"/>
          <w:szCs w:val="24"/>
        </w:rPr>
      </w:pPr>
      <w:r w:rsidRPr="001D17D8">
        <w:rPr>
          <w:rFonts w:ascii="Times New Roman" w:hAnsi="Times New Roman"/>
          <w:szCs w:val="24"/>
        </w:rPr>
        <w:t>.</w:t>
      </w:r>
    </w:p>
    <w:p w14:paraId="5D896468" w14:textId="77777777" w:rsidR="005B3BED" w:rsidRPr="001D17D8" w:rsidRDefault="005B3BED" w:rsidP="00A64C95">
      <w:pPr>
        <w:tabs>
          <w:tab w:val="left" w:pos="963"/>
        </w:tabs>
        <w:jc w:val="both"/>
        <w:rPr>
          <w:rFonts w:ascii="Times New Roman" w:hAnsi="Times New Roman"/>
          <w:sz w:val="22"/>
          <w:szCs w:val="22"/>
          <w:lang w:val="ca-ES"/>
        </w:rPr>
      </w:pPr>
    </w:p>
    <w:p w14:paraId="30457B6B" w14:textId="77777777" w:rsidR="00E03F23" w:rsidRDefault="00E03F23" w:rsidP="00A64C95">
      <w:pPr>
        <w:tabs>
          <w:tab w:val="left" w:pos="963"/>
        </w:tabs>
        <w:jc w:val="both"/>
        <w:rPr>
          <w:rFonts w:ascii="Arial" w:hAnsi="Arial" w:cs="Arial"/>
          <w:sz w:val="22"/>
          <w:szCs w:val="22"/>
        </w:rPr>
      </w:pPr>
    </w:p>
    <w:p w14:paraId="3F228AFA" w14:textId="1869A405" w:rsidR="00C2217B" w:rsidRDefault="00C2217B" w:rsidP="00A64C95">
      <w:pPr>
        <w:tabs>
          <w:tab w:val="left" w:pos="963"/>
        </w:tabs>
        <w:jc w:val="both"/>
        <w:rPr>
          <w:sz w:val="22"/>
        </w:rPr>
      </w:pPr>
    </w:p>
    <w:sectPr w:rsidR="00C2217B" w:rsidSect="007305EE">
      <w:pgSz w:w="11880" w:h="16800"/>
      <w:pgMar w:top="1276" w:right="1701" w:bottom="1134" w:left="1701" w:header="737" w:footer="737" w:gutter="0"/>
      <w:cols w:space="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New York">
    <w:altName w:val="Times New Roman"/>
    <w:panose1 w:val="00000000000000000000"/>
    <w:charset w:val="4D"/>
    <w:family w:val="roman"/>
    <w:notTrueType/>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MS Mincho">
    <w:altName w:val="ＭＳ 明朝"/>
    <w:panose1 w:val="00000000000000000000"/>
    <w:charset w:val="80"/>
    <w:family w:val="roman"/>
    <w:notTrueType/>
    <w:pitch w:val="fixed"/>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0"/>
    <w:lvl w:ilvl="0">
      <w:numFmt w:val="bullet"/>
      <w:lvlText w:val="-"/>
      <w:lvlJc w:val="left"/>
      <w:pPr>
        <w:tabs>
          <w:tab w:val="num" w:pos="1320"/>
        </w:tabs>
        <w:ind w:left="1320" w:hanging="360"/>
      </w:pPr>
      <w:rPr>
        <w:rFonts w:ascii="Times New Roman" w:hAnsi="Times New Roman" w:hint="default"/>
      </w:rPr>
    </w:lvl>
  </w:abstractNum>
  <w:abstractNum w:abstractNumId="1">
    <w:nsid w:val="25A138F7"/>
    <w:multiLevelType w:val="hybridMultilevel"/>
    <w:tmpl w:val="542E01A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44D4423B"/>
    <w:multiLevelType w:val="hybridMultilevel"/>
    <w:tmpl w:val="AC3AABA2"/>
    <w:lvl w:ilvl="0" w:tplc="0C0A0011">
      <w:start w:val="1"/>
      <w:numFmt w:val="decimal"/>
      <w:lvlText w:val="%1)"/>
      <w:lvlJc w:val="left"/>
      <w:pPr>
        <w:ind w:left="360" w:hanging="360"/>
      </w:pPr>
      <w:rPr>
        <w:rFonts w:hint="default"/>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nsid w:val="76211CE8"/>
    <w:multiLevelType w:val="hybridMultilevel"/>
    <w:tmpl w:val="966403BC"/>
    <w:lvl w:ilvl="0" w:tplc="8A22C2DA">
      <w:start w:val="1"/>
      <w:numFmt w:val="decimal"/>
      <w:lvlText w:val="%1)"/>
      <w:lvlJc w:val="left"/>
      <w:pPr>
        <w:ind w:left="1097" w:hanging="360"/>
      </w:pPr>
      <w:rPr>
        <w:rFonts w:ascii="New York" w:hAnsi="New York" w:hint="default"/>
      </w:rPr>
    </w:lvl>
    <w:lvl w:ilvl="1" w:tplc="0C0A0019" w:tentative="1">
      <w:start w:val="1"/>
      <w:numFmt w:val="lowerLetter"/>
      <w:lvlText w:val="%2."/>
      <w:lvlJc w:val="left"/>
      <w:pPr>
        <w:ind w:left="1817" w:hanging="360"/>
      </w:pPr>
    </w:lvl>
    <w:lvl w:ilvl="2" w:tplc="0C0A001B" w:tentative="1">
      <w:start w:val="1"/>
      <w:numFmt w:val="lowerRoman"/>
      <w:lvlText w:val="%3."/>
      <w:lvlJc w:val="right"/>
      <w:pPr>
        <w:ind w:left="2537" w:hanging="180"/>
      </w:pPr>
    </w:lvl>
    <w:lvl w:ilvl="3" w:tplc="0C0A000F" w:tentative="1">
      <w:start w:val="1"/>
      <w:numFmt w:val="decimal"/>
      <w:lvlText w:val="%4."/>
      <w:lvlJc w:val="left"/>
      <w:pPr>
        <w:ind w:left="3257" w:hanging="360"/>
      </w:pPr>
    </w:lvl>
    <w:lvl w:ilvl="4" w:tplc="0C0A0019" w:tentative="1">
      <w:start w:val="1"/>
      <w:numFmt w:val="lowerLetter"/>
      <w:lvlText w:val="%5."/>
      <w:lvlJc w:val="left"/>
      <w:pPr>
        <w:ind w:left="3977" w:hanging="360"/>
      </w:pPr>
    </w:lvl>
    <w:lvl w:ilvl="5" w:tplc="0C0A001B" w:tentative="1">
      <w:start w:val="1"/>
      <w:numFmt w:val="lowerRoman"/>
      <w:lvlText w:val="%6."/>
      <w:lvlJc w:val="right"/>
      <w:pPr>
        <w:ind w:left="4697" w:hanging="180"/>
      </w:pPr>
    </w:lvl>
    <w:lvl w:ilvl="6" w:tplc="0C0A000F" w:tentative="1">
      <w:start w:val="1"/>
      <w:numFmt w:val="decimal"/>
      <w:lvlText w:val="%7."/>
      <w:lvlJc w:val="left"/>
      <w:pPr>
        <w:ind w:left="5417" w:hanging="360"/>
      </w:pPr>
    </w:lvl>
    <w:lvl w:ilvl="7" w:tplc="0C0A0019" w:tentative="1">
      <w:start w:val="1"/>
      <w:numFmt w:val="lowerLetter"/>
      <w:lvlText w:val="%8."/>
      <w:lvlJc w:val="left"/>
      <w:pPr>
        <w:ind w:left="6137" w:hanging="360"/>
      </w:pPr>
    </w:lvl>
    <w:lvl w:ilvl="8" w:tplc="0C0A001B" w:tentative="1">
      <w:start w:val="1"/>
      <w:numFmt w:val="lowerRoman"/>
      <w:lvlText w:val="%9."/>
      <w:lvlJc w:val="right"/>
      <w:pPr>
        <w:ind w:left="6857"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4"/>
  <w:bordersDoNotSurroundHeader/>
  <w:bordersDoNotSurroundFooter/>
  <w:defaultTabStop w:val="737"/>
  <w:hyphenationZone w:val="0"/>
  <w:doNotHyphenateCaps/>
  <w:drawingGridHorizontalSpacing w:val="120"/>
  <w:drawingGridVerticalSpacing w:val="0"/>
  <w:displayHorizontalDrawingGridEvery w:val="0"/>
  <w:displayVerticalDrawingGridEvery w:val="0"/>
  <w:doNotShadeFormData/>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99E"/>
    <w:rsid w:val="00031768"/>
    <w:rsid w:val="00057698"/>
    <w:rsid w:val="00064C26"/>
    <w:rsid w:val="000653F8"/>
    <w:rsid w:val="00071836"/>
    <w:rsid w:val="000762C9"/>
    <w:rsid w:val="000930B6"/>
    <w:rsid w:val="0009346A"/>
    <w:rsid w:val="000A118C"/>
    <w:rsid w:val="000A5C1B"/>
    <w:rsid w:val="000A5E99"/>
    <w:rsid w:val="000B3F90"/>
    <w:rsid w:val="000D30AE"/>
    <w:rsid w:val="00100C39"/>
    <w:rsid w:val="0011082A"/>
    <w:rsid w:val="00127EC9"/>
    <w:rsid w:val="001431B1"/>
    <w:rsid w:val="00173C59"/>
    <w:rsid w:val="00176E8E"/>
    <w:rsid w:val="001A0DC9"/>
    <w:rsid w:val="001A2969"/>
    <w:rsid w:val="001B0479"/>
    <w:rsid w:val="001B2696"/>
    <w:rsid w:val="001D17D8"/>
    <w:rsid w:val="001D7AC0"/>
    <w:rsid w:val="00214E04"/>
    <w:rsid w:val="00233E92"/>
    <w:rsid w:val="002433FF"/>
    <w:rsid w:val="00245FC7"/>
    <w:rsid w:val="002513F4"/>
    <w:rsid w:val="00254C94"/>
    <w:rsid w:val="00261E51"/>
    <w:rsid w:val="00275E2B"/>
    <w:rsid w:val="00283937"/>
    <w:rsid w:val="00295A79"/>
    <w:rsid w:val="00297A30"/>
    <w:rsid w:val="00297CEE"/>
    <w:rsid w:val="002D3C6B"/>
    <w:rsid w:val="002D49B1"/>
    <w:rsid w:val="002E1196"/>
    <w:rsid w:val="002E175A"/>
    <w:rsid w:val="002F2C95"/>
    <w:rsid w:val="002F7013"/>
    <w:rsid w:val="0031518E"/>
    <w:rsid w:val="003174BF"/>
    <w:rsid w:val="00320840"/>
    <w:rsid w:val="00332103"/>
    <w:rsid w:val="0033557E"/>
    <w:rsid w:val="00352D77"/>
    <w:rsid w:val="003605A8"/>
    <w:rsid w:val="00381866"/>
    <w:rsid w:val="00381A09"/>
    <w:rsid w:val="003B0A97"/>
    <w:rsid w:val="003B11AC"/>
    <w:rsid w:val="003B5C34"/>
    <w:rsid w:val="003D003B"/>
    <w:rsid w:val="003F0F9F"/>
    <w:rsid w:val="003F49D7"/>
    <w:rsid w:val="003F77C5"/>
    <w:rsid w:val="003F78F6"/>
    <w:rsid w:val="00400AEC"/>
    <w:rsid w:val="0040236C"/>
    <w:rsid w:val="00404941"/>
    <w:rsid w:val="004072DD"/>
    <w:rsid w:val="00411214"/>
    <w:rsid w:val="0041599D"/>
    <w:rsid w:val="00445A0C"/>
    <w:rsid w:val="00445EFA"/>
    <w:rsid w:val="00453B94"/>
    <w:rsid w:val="00455B0E"/>
    <w:rsid w:val="0046217D"/>
    <w:rsid w:val="004710C9"/>
    <w:rsid w:val="004811EB"/>
    <w:rsid w:val="004A7C60"/>
    <w:rsid w:val="004B5297"/>
    <w:rsid w:val="004C1F77"/>
    <w:rsid w:val="004D66C2"/>
    <w:rsid w:val="004E145F"/>
    <w:rsid w:val="004F2BBC"/>
    <w:rsid w:val="004F751A"/>
    <w:rsid w:val="00502520"/>
    <w:rsid w:val="00523BFA"/>
    <w:rsid w:val="00531CCC"/>
    <w:rsid w:val="00542B00"/>
    <w:rsid w:val="00550D07"/>
    <w:rsid w:val="0055606E"/>
    <w:rsid w:val="005641D4"/>
    <w:rsid w:val="00571073"/>
    <w:rsid w:val="00575752"/>
    <w:rsid w:val="00592C3F"/>
    <w:rsid w:val="005946FE"/>
    <w:rsid w:val="005A069E"/>
    <w:rsid w:val="005B3BED"/>
    <w:rsid w:val="005C55BC"/>
    <w:rsid w:val="005C7FDA"/>
    <w:rsid w:val="005E1EB3"/>
    <w:rsid w:val="005E21A7"/>
    <w:rsid w:val="00603A92"/>
    <w:rsid w:val="006144C4"/>
    <w:rsid w:val="00614F7C"/>
    <w:rsid w:val="00617BA8"/>
    <w:rsid w:val="00624829"/>
    <w:rsid w:val="00644F9A"/>
    <w:rsid w:val="006612EC"/>
    <w:rsid w:val="006617A3"/>
    <w:rsid w:val="00663DCC"/>
    <w:rsid w:val="00683133"/>
    <w:rsid w:val="00690B40"/>
    <w:rsid w:val="00693E54"/>
    <w:rsid w:val="006B08F7"/>
    <w:rsid w:val="006C4461"/>
    <w:rsid w:val="006C59F5"/>
    <w:rsid w:val="006D2EAF"/>
    <w:rsid w:val="006E4A33"/>
    <w:rsid w:val="00716540"/>
    <w:rsid w:val="007305EE"/>
    <w:rsid w:val="0073327F"/>
    <w:rsid w:val="007422B8"/>
    <w:rsid w:val="0074471E"/>
    <w:rsid w:val="00772CF9"/>
    <w:rsid w:val="0077536A"/>
    <w:rsid w:val="007942DB"/>
    <w:rsid w:val="007C1D01"/>
    <w:rsid w:val="007D1F74"/>
    <w:rsid w:val="007D6777"/>
    <w:rsid w:val="007D6E3C"/>
    <w:rsid w:val="007E2B62"/>
    <w:rsid w:val="0081488A"/>
    <w:rsid w:val="0082415C"/>
    <w:rsid w:val="008526B8"/>
    <w:rsid w:val="00855623"/>
    <w:rsid w:val="00855C75"/>
    <w:rsid w:val="008835F2"/>
    <w:rsid w:val="0088375C"/>
    <w:rsid w:val="00890D89"/>
    <w:rsid w:val="00893294"/>
    <w:rsid w:val="008A4154"/>
    <w:rsid w:val="008C2E84"/>
    <w:rsid w:val="008C3B6D"/>
    <w:rsid w:val="008F25CB"/>
    <w:rsid w:val="008F5389"/>
    <w:rsid w:val="00903529"/>
    <w:rsid w:val="00923A92"/>
    <w:rsid w:val="009268EF"/>
    <w:rsid w:val="00927F2A"/>
    <w:rsid w:val="0094238F"/>
    <w:rsid w:val="00953CDB"/>
    <w:rsid w:val="00963F29"/>
    <w:rsid w:val="00983CFA"/>
    <w:rsid w:val="009A7A2B"/>
    <w:rsid w:val="009D7CD3"/>
    <w:rsid w:val="009F7A5A"/>
    <w:rsid w:val="00A00D1A"/>
    <w:rsid w:val="00A27EF6"/>
    <w:rsid w:val="00A34E27"/>
    <w:rsid w:val="00A64C95"/>
    <w:rsid w:val="00A659EB"/>
    <w:rsid w:val="00A931E6"/>
    <w:rsid w:val="00A9560B"/>
    <w:rsid w:val="00AA357C"/>
    <w:rsid w:val="00AA5295"/>
    <w:rsid w:val="00AB7783"/>
    <w:rsid w:val="00AC060F"/>
    <w:rsid w:val="00AC4C96"/>
    <w:rsid w:val="00AC4D41"/>
    <w:rsid w:val="00AC50A2"/>
    <w:rsid w:val="00AC79CF"/>
    <w:rsid w:val="00AE047C"/>
    <w:rsid w:val="00AE140B"/>
    <w:rsid w:val="00B068AF"/>
    <w:rsid w:val="00B07916"/>
    <w:rsid w:val="00B44F2F"/>
    <w:rsid w:val="00B74B52"/>
    <w:rsid w:val="00B83178"/>
    <w:rsid w:val="00B83B03"/>
    <w:rsid w:val="00B863F8"/>
    <w:rsid w:val="00BA6E7A"/>
    <w:rsid w:val="00BC794F"/>
    <w:rsid w:val="00BD2AF8"/>
    <w:rsid w:val="00BF5F6C"/>
    <w:rsid w:val="00C0395F"/>
    <w:rsid w:val="00C12689"/>
    <w:rsid w:val="00C2217B"/>
    <w:rsid w:val="00C77280"/>
    <w:rsid w:val="00C77EE5"/>
    <w:rsid w:val="00C81346"/>
    <w:rsid w:val="00C82C57"/>
    <w:rsid w:val="00C848DC"/>
    <w:rsid w:val="00CB1650"/>
    <w:rsid w:val="00CB44F1"/>
    <w:rsid w:val="00CD4DDA"/>
    <w:rsid w:val="00CD66FF"/>
    <w:rsid w:val="00CF3DCE"/>
    <w:rsid w:val="00D04658"/>
    <w:rsid w:val="00D21A48"/>
    <w:rsid w:val="00D3509D"/>
    <w:rsid w:val="00D6424E"/>
    <w:rsid w:val="00D737B8"/>
    <w:rsid w:val="00D74026"/>
    <w:rsid w:val="00D77BD1"/>
    <w:rsid w:val="00D95B6E"/>
    <w:rsid w:val="00DA0572"/>
    <w:rsid w:val="00DA520A"/>
    <w:rsid w:val="00DB6C54"/>
    <w:rsid w:val="00DC0658"/>
    <w:rsid w:val="00DC7E90"/>
    <w:rsid w:val="00DE6DE4"/>
    <w:rsid w:val="00DF0643"/>
    <w:rsid w:val="00DF760A"/>
    <w:rsid w:val="00E03F23"/>
    <w:rsid w:val="00E1581C"/>
    <w:rsid w:val="00E16C45"/>
    <w:rsid w:val="00E212EB"/>
    <w:rsid w:val="00E32AD7"/>
    <w:rsid w:val="00E36276"/>
    <w:rsid w:val="00E432D7"/>
    <w:rsid w:val="00E62BD6"/>
    <w:rsid w:val="00E64491"/>
    <w:rsid w:val="00E7406F"/>
    <w:rsid w:val="00E76AE1"/>
    <w:rsid w:val="00E96220"/>
    <w:rsid w:val="00E97CE4"/>
    <w:rsid w:val="00E97F2F"/>
    <w:rsid w:val="00EB5629"/>
    <w:rsid w:val="00ED18E1"/>
    <w:rsid w:val="00EE0117"/>
    <w:rsid w:val="00EE1C0B"/>
    <w:rsid w:val="00EE55B3"/>
    <w:rsid w:val="00EF1A4B"/>
    <w:rsid w:val="00EF699E"/>
    <w:rsid w:val="00F10FD7"/>
    <w:rsid w:val="00F1451C"/>
    <w:rsid w:val="00F1530B"/>
    <w:rsid w:val="00F21C78"/>
    <w:rsid w:val="00F4305A"/>
    <w:rsid w:val="00F43A9A"/>
    <w:rsid w:val="00F61655"/>
    <w:rsid w:val="00F74B30"/>
    <w:rsid w:val="00FA2414"/>
    <w:rsid w:val="00FB3391"/>
    <w:rsid w:val="00FB6C75"/>
    <w:rsid w:val="00FC7581"/>
    <w:rsid w:val="00FE61E7"/>
    <w:rsid w:val="00FF1B02"/>
    <w:rsid w:val="00FF2ACC"/>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AE6C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s-ES"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Pr>
      <w:noProof/>
      <w:sz w:val="24"/>
      <w:lang w:val="es-ES_tradnl"/>
    </w:rPr>
  </w:style>
  <w:style w:type="paragraph" w:styleId="Ttulo1">
    <w:name w:val="heading 1"/>
    <w:basedOn w:val="Normal"/>
    <w:next w:val="Normal"/>
    <w:qFormat/>
    <w:pPr>
      <w:keepNext/>
      <w:ind w:firstLine="737"/>
      <w:jc w:val="both"/>
      <w:outlineLvl w:val="0"/>
    </w:pPr>
    <w:rPr>
      <w:sz w:val="48"/>
    </w:rPr>
  </w:style>
  <w:style w:type="paragraph" w:styleId="Ttulo2">
    <w:name w:val="heading 2"/>
    <w:basedOn w:val="Normal"/>
    <w:next w:val="Normal"/>
    <w:qFormat/>
    <w:pPr>
      <w:keepNext/>
      <w:outlineLvl w:val="1"/>
    </w:pPr>
    <w:rPr>
      <w:b/>
      <w:sz w:val="20"/>
    </w:rPr>
  </w:style>
  <w:style w:type="paragraph" w:styleId="Ttulo6">
    <w:name w:val="heading 6"/>
    <w:basedOn w:val="Normal"/>
    <w:next w:val="Normal"/>
    <w:link w:val="Ttulo6Car"/>
    <w:uiPriority w:val="9"/>
    <w:qFormat/>
    <w:rsid w:val="00EF699E"/>
    <w:pPr>
      <w:spacing w:before="240" w:after="60"/>
      <w:outlineLvl w:val="5"/>
    </w:pPr>
    <w:rPr>
      <w:rFonts w:ascii="Cambria" w:eastAsia="MS Mincho" w:hAnsi="Cambria"/>
      <w:b/>
      <w:bCs/>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decuerpo21">
    <w:name w:val="Texto de cuerpo 21"/>
    <w:basedOn w:val="Normal"/>
    <w:pPr>
      <w:ind w:firstLine="360"/>
      <w:jc w:val="both"/>
    </w:pPr>
  </w:style>
  <w:style w:type="character" w:styleId="Hipervnculo">
    <w:name w:val="Hyperlink"/>
    <w:rPr>
      <w:color w:val="0000FF"/>
      <w:u w:val="single"/>
    </w:rPr>
  </w:style>
  <w:style w:type="paragraph" w:customStyle="1" w:styleId="Sangradetdecuerpo1">
    <w:name w:val="Sangría de t. de cuerpo1"/>
    <w:basedOn w:val="Normal"/>
    <w:pPr>
      <w:jc w:val="both"/>
    </w:pPr>
  </w:style>
  <w:style w:type="paragraph" w:styleId="Textodecuerpo">
    <w:name w:val="Body Text"/>
    <w:basedOn w:val="Normal"/>
    <w:pPr>
      <w:ind w:right="-26"/>
      <w:jc w:val="both"/>
    </w:pPr>
  </w:style>
  <w:style w:type="character" w:customStyle="1" w:styleId="Ttulo6Car">
    <w:name w:val="Título 6 Car"/>
    <w:link w:val="Ttulo6"/>
    <w:uiPriority w:val="9"/>
    <w:semiHidden/>
    <w:rsid w:val="00EF699E"/>
    <w:rPr>
      <w:rFonts w:ascii="Cambria" w:eastAsia="MS Mincho" w:hAnsi="Cambria" w:cs="Times New Roman"/>
      <w:b/>
      <w:bCs/>
      <w:noProof/>
      <w:sz w:val="22"/>
      <w:szCs w:val="22"/>
    </w:rPr>
  </w:style>
  <w:style w:type="character" w:styleId="Hipervnculovisitado">
    <w:name w:val="FollowedHyperlink"/>
    <w:uiPriority w:val="99"/>
    <w:semiHidden/>
    <w:unhideWhenUsed/>
    <w:rsid w:val="00BF5F6C"/>
    <w:rPr>
      <w:color w:val="800080"/>
      <w:u w:val="single"/>
    </w:rPr>
  </w:style>
  <w:style w:type="paragraph" w:styleId="Textodeglobo">
    <w:name w:val="Balloon Text"/>
    <w:basedOn w:val="Normal"/>
    <w:link w:val="TextodegloboCar"/>
    <w:uiPriority w:val="99"/>
    <w:semiHidden/>
    <w:unhideWhenUsed/>
    <w:rsid w:val="00890D89"/>
    <w:rPr>
      <w:rFonts w:ascii="Tahoma" w:hAnsi="Tahoma" w:cs="Tahoma"/>
      <w:sz w:val="16"/>
      <w:szCs w:val="16"/>
    </w:rPr>
  </w:style>
  <w:style w:type="character" w:customStyle="1" w:styleId="TextodegloboCar">
    <w:name w:val="Texto de globo Car"/>
    <w:basedOn w:val="Fuentedeprrafopredeter"/>
    <w:link w:val="Textodeglobo"/>
    <w:uiPriority w:val="99"/>
    <w:semiHidden/>
    <w:rsid w:val="00890D89"/>
    <w:rPr>
      <w:rFonts w:ascii="Tahoma" w:hAnsi="Tahoma" w:cs="Tahoma"/>
      <w:noProof/>
      <w:sz w:val="16"/>
      <w:szCs w:val="16"/>
      <w:lang w:val="es-ES_tradnl"/>
    </w:rPr>
  </w:style>
  <w:style w:type="paragraph" w:styleId="Prrafodelista">
    <w:name w:val="List Paragraph"/>
    <w:basedOn w:val="Normal"/>
    <w:uiPriority w:val="72"/>
    <w:qFormat/>
    <w:rsid w:val="00F21C78"/>
    <w:pPr>
      <w:ind w:left="720"/>
      <w:contextualSpacing/>
    </w:pPr>
  </w:style>
  <w:style w:type="paragraph" w:styleId="NormalWeb">
    <w:name w:val="Normal (Web)"/>
    <w:basedOn w:val="Normal"/>
    <w:rsid w:val="00CF3DCE"/>
    <w:rPr>
      <w:rFonts w:ascii="Times New Roman" w:hAnsi="Times New Roman"/>
      <w:noProof w:val="0"/>
      <w:szCs w:val="24"/>
      <w:lang w:val="es-ES"/>
    </w:rPr>
  </w:style>
  <w:style w:type="paragraph" w:styleId="HTMLconformatoprevio">
    <w:name w:val="HTML Preformatted"/>
    <w:basedOn w:val="Normal"/>
    <w:link w:val="HTMLconformatoprevioCar"/>
    <w:uiPriority w:val="99"/>
    <w:unhideWhenUsed/>
    <w:rsid w:val="00F430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noProof w:val="0"/>
      <w:sz w:val="20"/>
      <w:lang w:val="x-none" w:eastAsia="x-none"/>
    </w:rPr>
  </w:style>
  <w:style w:type="character" w:customStyle="1" w:styleId="HTMLconformatoprevioCar">
    <w:name w:val="HTML con formato previo Car"/>
    <w:basedOn w:val="Fuentedeprrafopredeter"/>
    <w:link w:val="HTMLconformatoprevio"/>
    <w:uiPriority w:val="99"/>
    <w:rsid w:val="00F4305A"/>
    <w:rPr>
      <w:rFonts w:ascii="Courier" w:hAnsi="Courier"/>
      <w:lang w:val="x-none" w:eastAsia="x-none"/>
    </w:rPr>
  </w:style>
  <w:style w:type="paragraph" w:customStyle="1" w:styleId="Listavistosa-nfasis11">
    <w:name w:val="Lista vistosa - Énfasis 11"/>
    <w:basedOn w:val="Normal"/>
    <w:uiPriority w:val="34"/>
    <w:qFormat/>
    <w:rsid w:val="00ED18E1"/>
    <w:pPr>
      <w:spacing w:after="200" w:line="276" w:lineRule="auto"/>
      <w:ind w:left="720"/>
      <w:contextualSpacing/>
    </w:pPr>
    <w:rPr>
      <w:rFonts w:ascii="Calibri" w:eastAsia="Calibri" w:hAnsi="Calibri" w:cs="Calibri"/>
      <w:noProof w:val="0"/>
      <w:sz w:val="22"/>
      <w:szCs w:val="22"/>
      <w:lang w:val="es-ES"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s-ES"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Pr>
      <w:noProof/>
      <w:sz w:val="24"/>
      <w:lang w:val="es-ES_tradnl"/>
    </w:rPr>
  </w:style>
  <w:style w:type="paragraph" w:styleId="Ttulo1">
    <w:name w:val="heading 1"/>
    <w:basedOn w:val="Normal"/>
    <w:next w:val="Normal"/>
    <w:qFormat/>
    <w:pPr>
      <w:keepNext/>
      <w:ind w:firstLine="737"/>
      <w:jc w:val="both"/>
      <w:outlineLvl w:val="0"/>
    </w:pPr>
    <w:rPr>
      <w:sz w:val="48"/>
    </w:rPr>
  </w:style>
  <w:style w:type="paragraph" w:styleId="Ttulo2">
    <w:name w:val="heading 2"/>
    <w:basedOn w:val="Normal"/>
    <w:next w:val="Normal"/>
    <w:qFormat/>
    <w:pPr>
      <w:keepNext/>
      <w:outlineLvl w:val="1"/>
    </w:pPr>
    <w:rPr>
      <w:b/>
      <w:sz w:val="20"/>
    </w:rPr>
  </w:style>
  <w:style w:type="paragraph" w:styleId="Ttulo6">
    <w:name w:val="heading 6"/>
    <w:basedOn w:val="Normal"/>
    <w:next w:val="Normal"/>
    <w:link w:val="Ttulo6Car"/>
    <w:uiPriority w:val="9"/>
    <w:qFormat/>
    <w:rsid w:val="00EF699E"/>
    <w:pPr>
      <w:spacing w:before="240" w:after="60"/>
      <w:outlineLvl w:val="5"/>
    </w:pPr>
    <w:rPr>
      <w:rFonts w:ascii="Cambria" w:eastAsia="MS Mincho" w:hAnsi="Cambria"/>
      <w:b/>
      <w:bCs/>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decuerpo21">
    <w:name w:val="Texto de cuerpo 21"/>
    <w:basedOn w:val="Normal"/>
    <w:pPr>
      <w:ind w:firstLine="360"/>
      <w:jc w:val="both"/>
    </w:pPr>
  </w:style>
  <w:style w:type="character" w:styleId="Hipervnculo">
    <w:name w:val="Hyperlink"/>
    <w:rPr>
      <w:color w:val="0000FF"/>
      <w:u w:val="single"/>
    </w:rPr>
  </w:style>
  <w:style w:type="paragraph" w:customStyle="1" w:styleId="Sangradetdecuerpo1">
    <w:name w:val="Sangría de t. de cuerpo1"/>
    <w:basedOn w:val="Normal"/>
    <w:pPr>
      <w:jc w:val="both"/>
    </w:pPr>
  </w:style>
  <w:style w:type="paragraph" w:styleId="Textodecuerpo">
    <w:name w:val="Body Text"/>
    <w:basedOn w:val="Normal"/>
    <w:pPr>
      <w:ind w:right="-26"/>
      <w:jc w:val="both"/>
    </w:pPr>
  </w:style>
  <w:style w:type="character" w:customStyle="1" w:styleId="Ttulo6Car">
    <w:name w:val="Título 6 Car"/>
    <w:link w:val="Ttulo6"/>
    <w:uiPriority w:val="9"/>
    <w:semiHidden/>
    <w:rsid w:val="00EF699E"/>
    <w:rPr>
      <w:rFonts w:ascii="Cambria" w:eastAsia="MS Mincho" w:hAnsi="Cambria" w:cs="Times New Roman"/>
      <w:b/>
      <w:bCs/>
      <w:noProof/>
      <w:sz w:val="22"/>
      <w:szCs w:val="22"/>
    </w:rPr>
  </w:style>
  <w:style w:type="character" w:styleId="Hipervnculovisitado">
    <w:name w:val="FollowedHyperlink"/>
    <w:uiPriority w:val="99"/>
    <w:semiHidden/>
    <w:unhideWhenUsed/>
    <w:rsid w:val="00BF5F6C"/>
    <w:rPr>
      <w:color w:val="800080"/>
      <w:u w:val="single"/>
    </w:rPr>
  </w:style>
  <w:style w:type="paragraph" w:styleId="Textodeglobo">
    <w:name w:val="Balloon Text"/>
    <w:basedOn w:val="Normal"/>
    <w:link w:val="TextodegloboCar"/>
    <w:uiPriority w:val="99"/>
    <w:semiHidden/>
    <w:unhideWhenUsed/>
    <w:rsid w:val="00890D89"/>
    <w:rPr>
      <w:rFonts w:ascii="Tahoma" w:hAnsi="Tahoma" w:cs="Tahoma"/>
      <w:sz w:val="16"/>
      <w:szCs w:val="16"/>
    </w:rPr>
  </w:style>
  <w:style w:type="character" w:customStyle="1" w:styleId="TextodegloboCar">
    <w:name w:val="Texto de globo Car"/>
    <w:basedOn w:val="Fuentedeprrafopredeter"/>
    <w:link w:val="Textodeglobo"/>
    <w:uiPriority w:val="99"/>
    <w:semiHidden/>
    <w:rsid w:val="00890D89"/>
    <w:rPr>
      <w:rFonts w:ascii="Tahoma" w:hAnsi="Tahoma" w:cs="Tahoma"/>
      <w:noProof/>
      <w:sz w:val="16"/>
      <w:szCs w:val="16"/>
      <w:lang w:val="es-ES_tradnl"/>
    </w:rPr>
  </w:style>
  <w:style w:type="paragraph" w:styleId="Prrafodelista">
    <w:name w:val="List Paragraph"/>
    <w:basedOn w:val="Normal"/>
    <w:uiPriority w:val="72"/>
    <w:qFormat/>
    <w:rsid w:val="00F21C78"/>
    <w:pPr>
      <w:ind w:left="720"/>
      <w:contextualSpacing/>
    </w:pPr>
  </w:style>
  <w:style w:type="paragraph" w:styleId="NormalWeb">
    <w:name w:val="Normal (Web)"/>
    <w:basedOn w:val="Normal"/>
    <w:rsid w:val="00CF3DCE"/>
    <w:rPr>
      <w:rFonts w:ascii="Times New Roman" w:hAnsi="Times New Roman"/>
      <w:noProof w:val="0"/>
      <w:szCs w:val="24"/>
      <w:lang w:val="es-ES"/>
    </w:rPr>
  </w:style>
  <w:style w:type="paragraph" w:styleId="HTMLconformatoprevio">
    <w:name w:val="HTML Preformatted"/>
    <w:basedOn w:val="Normal"/>
    <w:link w:val="HTMLconformatoprevioCar"/>
    <w:uiPriority w:val="99"/>
    <w:unhideWhenUsed/>
    <w:rsid w:val="00F430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noProof w:val="0"/>
      <w:sz w:val="20"/>
      <w:lang w:val="x-none" w:eastAsia="x-none"/>
    </w:rPr>
  </w:style>
  <w:style w:type="character" w:customStyle="1" w:styleId="HTMLconformatoprevioCar">
    <w:name w:val="HTML con formato previo Car"/>
    <w:basedOn w:val="Fuentedeprrafopredeter"/>
    <w:link w:val="HTMLconformatoprevio"/>
    <w:uiPriority w:val="99"/>
    <w:rsid w:val="00F4305A"/>
    <w:rPr>
      <w:rFonts w:ascii="Courier" w:hAnsi="Courier"/>
      <w:lang w:val="x-none" w:eastAsia="x-none"/>
    </w:rPr>
  </w:style>
  <w:style w:type="paragraph" w:customStyle="1" w:styleId="Listavistosa-nfasis11">
    <w:name w:val="Lista vistosa - Énfasis 11"/>
    <w:basedOn w:val="Normal"/>
    <w:uiPriority w:val="34"/>
    <w:qFormat/>
    <w:rsid w:val="00ED18E1"/>
    <w:pPr>
      <w:spacing w:after="200" w:line="276" w:lineRule="auto"/>
      <w:ind w:left="720"/>
      <w:contextualSpacing/>
    </w:pPr>
    <w:rPr>
      <w:rFonts w:ascii="Calibri" w:eastAsia="Calibri" w:hAnsi="Calibri" w:cs="Calibri"/>
      <w:noProof w:val="0"/>
      <w:sz w:val="22"/>
      <w:szCs w:val="22"/>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hyperlink" Target="mailto:fburillo@unizar.es"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1093</TotalTime>
  <Pages>4</Pages>
  <Words>1827</Words>
  <Characters>10050</Characters>
  <Application>Microsoft Macintosh Word</Application>
  <DocSecurity>0</DocSecurity>
  <Lines>83</Lines>
  <Paragraphs>23</Paragraphs>
  <ScaleCrop>false</ScaleCrop>
  <HeadingPairs>
    <vt:vector size="2" baseType="variant">
      <vt:variant>
        <vt:lpstr>Título</vt:lpstr>
      </vt:variant>
      <vt:variant>
        <vt:i4>1</vt:i4>
      </vt:variant>
    </vt:vector>
  </HeadingPairs>
  <TitlesOfParts>
    <vt:vector size="1" baseType="lpstr">
      <vt:lpstr>Arturo Perez</vt:lpstr>
    </vt:vector>
  </TitlesOfParts>
  <Company/>
  <LinksUpToDate>false</LinksUpToDate>
  <CharactersWithSpaces>11854</CharactersWithSpaces>
  <SharedDoc>false</SharedDoc>
  <HLinks>
    <vt:vector size="24" baseType="variant">
      <vt:variant>
        <vt:i4>3866719</vt:i4>
      </vt:variant>
      <vt:variant>
        <vt:i4>3</vt:i4>
      </vt:variant>
      <vt:variant>
        <vt:i4>0</vt:i4>
      </vt:variant>
      <vt:variant>
        <vt:i4>5</vt:i4>
      </vt:variant>
      <vt:variant>
        <vt:lpwstr>http://www.celtiberica.es/flipping/Serrania.pdf</vt:lpwstr>
      </vt:variant>
      <vt:variant>
        <vt:lpwstr/>
      </vt:variant>
      <vt:variant>
        <vt:i4>3604601</vt:i4>
      </vt:variant>
      <vt:variant>
        <vt:i4>0</vt:i4>
      </vt:variant>
      <vt:variant>
        <vt:i4>0</vt:i4>
      </vt:variant>
      <vt:variant>
        <vt:i4>5</vt:i4>
      </vt:variant>
      <vt:variant>
        <vt:lpwstr>mailto:fburillo@unizar.es</vt:lpwstr>
      </vt:variant>
      <vt:variant>
        <vt:lpwstr/>
      </vt:variant>
      <vt:variant>
        <vt:i4>262152</vt:i4>
      </vt:variant>
      <vt:variant>
        <vt:i4>2077</vt:i4>
      </vt:variant>
      <vt:variant>
        <vt:i4>1025</vt:i4>
      </vt:variant>
      <vt:variant>
        <vt:i4>1</vt:i4>
      </vt:variant>
      <vt:variant>
        <vt:lpwstr>Facultad</vt:lpwstr>
      </vt:variant>
      <vt:variant>
        <vt:lpwstr/>
      </vt:variant>
      <vt:variant>
        <vt:i4>1310835</vt:i4>
      </vt:variant>
      <vt:variant>
        <vt:i4>13800</vt:i4>
      </vt:variant>
      <vt:variant>
        <vt:i4>1026</vt:i4>
      </vt:variant>
      <vt:variant>
        <vt:i4>1</vt:i4>
      </vt:variant>
      <vt:variant>
        <vt:lpwstr>Firma 600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Arturo Perez</dc:title>
  <dc:creator>ELENA</dc:creator>
  <cp:lastModifiedBy>Francisco Burillo</cp:lastModifiedBy>
  <cp:revision>100</cp:revision>
  <cp:lastPrinted>2015-06-23T08:28:00Z</cp:lastPrinted>
  <dcterms:created xsi:type="dcterms:W3CDTF">2015-05-19T10:14:00Z</dcterms:created>
  <dcterms:modified xsi:type="dcterms:W3CDTF">2015-06-23T08:45:00Z</dcterms:modified>
</cp:coreProperties>
</file>